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D65" w:rsidRPr="009A7D65" w:rsidRDefault="009A7D65" w:rsidP="009A7D65">
      <w:pPr>
        <w:rPr>
          <w:b/>
          <w:bCs/>
        </w:rPr>
      </w:pPr>
      <w:r w:rsidRPr="009A7D65">
        <w:rPr>
          <w:b/>
          <w:bCs/>
        </w:rPr>
        <w:t xml:space="preserve"> Communication Updates to Stakeholders and Regulators</w:t>
      </w:r>
    </w:p>
    <w:p w:rsidR="009A7D65" w:rsidRPr="009A7D65" w:rsidRDefault="009A7D65" w:rsidP="009A7D65">
      <w:r w:rsidRPr="009A7D65">
        <w:rPr>
          <w:b/>
          <w:bCs/>
        </w:rPr>
        <w:t>Overview:</w:t>
      </w:r>
      <w:r w:rsidRPr="009A7D65">
        <w:br/>
        <w:t>Regular, structured communications provided to key stakeholders and regulatory authorities to keep them informed about project progress, compliance status, incidents, and operational changes.</w:t>
      </w:r>
    </w:p>
    <w:p w:rsidR="009A7D65" w:rsidRPr="009A7D65" w:rsidRDefault="009A7D65" w:rsidP="009A7D65">
      <w:r w:rsidRPr="009A7D65">
        <w:rPr>
          <w:b/>
          <w:bCs/>
        </w:rPr>
        <w:t>Contents: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Status Updates:</w:t>
      </w:r>
      <w:r w:rsidRPr="009A7D65">
        <w:t xml:space="preserve"> Progress reports on development, testing, deployment phases, and post-launch performance.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Regulatory Disclosures:</w:t>
      </w:r>
      <w:r w:rsidRPr="009A7D65">
        <w:t xml:space="preserve"> Mandatory notifications such as data breaches, fraud incidents, or compliance deviations in line with laws (e.g., Central Bank notifications).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Change Announcements:</w:t>
      </w:r>
      <w:r w:rsidRPr="009A7D65">
        <w:t xml:space="preserve"> Information about significant changes impacting users or partners (e.g., API updates in mobile money integration).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Meeting Minutes:</w:t>
      </w:r>
      <w:r w:rsidRPr="009A7D65">
        <w:t xml:space="preserve"> Summaries of stakeholder and regulator meetings including decisions and action items.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Risk and Issue Communications:</w:t>
      </w:r>
      <w:r w:rsidRPr="009A7D65">
        <w:t xml:space="preserve"> Timely alerts on critical risks, escalated issues, and their resolutions.</w:t>
      </w:r>
    </w:p>
    <w:p w:rsidR="009A7D65" w:rsidRPr="009A7D65" w:rsidRDefault="009A7D65" w:rsidP="009A7D65">
      <w:pPr>
        <w:numPr>
          <w:ilvl w:val="0"/>
          <w:numId w:val="1"/>
        </w:numPr>
      </w:pPr>
      <w:r w:rsidRPr="009A7D65">
        <w:rPr>
          <w:b/>
          <w:bCs/>
        </w:rPr>
        <w:t>Communication Logs:</w:t>
      </w:r>
      <w:r w:rsidRPr="009A7D65">
        <w:t xml:space="preserve"> Records of all outgoing communications for audit trails.</w:t>
      </w:r>
    </w:p>
    <w:p w:rsidR="009A7D65" w:rsidRPr="009A7D65" w:rsidRDefault="009A7D65" w:rsidP="009A7D65">
      <w:r w:rsidRPr="009A7D65">
        <w:rPr>
          <w:b/>
          <w:bCs/>
        </w:rPr>
        <w:t>Channels:</w:t>
      </w:r>
      <w:r w:rsidRPr="009A7D65">
        <w:t xml:space="preserve"> Email, official portals, secure document sharing platforms, regulatory reporting systems.</w:t>
      </w:r>
      <w:r w:rsidRPr="009A7D65">
        <w:br/>
      </w:r>
      <w:r w:rsidRPr="009A7D65">
        <w:rPr>
          <w:b/>
          <w:bCs/>
        </w:rPr>
        <w:t>Purpose:</w:t>
      </w:r>
      <w:r w:rsidRPr="009A7D65">
        <w:t xml:space="preserve"> To maintain transparency, build trust, ensure legal compliance, and facilitate timely decision-making.</w:t>
      </w:r>
    </w:p>
    <w:p w:rsidR="009A7D65" w:rsidRPr="009A7D65" w:rsidRDefault="009A7D65" w:rsidP="009A7D65"/>
    <w:sectPr w:rsidR="009A7D65" w:rsidRPr="009A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C1682"/>
    <w:multiLevelType w:val="multilevel"/>
    <w:tmpl w:val="4248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47D"/>
    <w:multiLevelType w:val="multilevel"/>
    <w:tmpl w:val="83B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3153">
    <w:abstractNumId w:val="0"/>
  </w:num>
  <w:num w:numId="2" w16cid:durableId="163336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65"/>
    <w:rsid w:val="00180A00"/>
    <w:rsid w:val="0028578E"/>
    <w:rsid w:val="009A7D65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6C82"/>
  <w15:chartTrackingRefBased/>
  <w15:docId w15:val="{9E9B0E5D-DCD8-457C-9BDA-912CC371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2025-07-28T19:15:00Z</dcterms:created>
  <dcterms:modified xsi:type="dcterms:W3CDTF">2025-07-28T19:16:00Z</dcterms:modified>
</cp:coreProperties>
</file>