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5BF2" w:rsidRPr="00C25BF2" w:rsidRDefault="00C25BF2" w:rsidP="00C25BF2">
      <w:pPr>
        <w:rPr>
          <w:b/>
          <w:bCs/>
        </w:rPr>
      </w:pPr>
      <w:r w:rsidRPr="00C25BF2">
        <w:rPr>
          <w:b/>
          <w:bCs/>
        </w:rPr>
        <w:t xml:space="preserve"> Compliance Audits and Regulatory Reporting — </w:t>
      </w:r>
      <w:r w:rsidRPr="00C25BF2">
        <w:rPr>
          <w:b/>
          <w:bCs/>
          <w:i/>
          <w:iCs/>
        </w:rPr>
        <w:t>Mobile Money Integration</w:t>
      </w:r>
    </w:p>
    <w:p w:rsidR="00C25BF2" w:rsidRPr="00C25BF2" w:rsidRDefault="00C25BF2" w:rsidP="00C25BF2">
      <w:r w:rsidRPr="00C25BF2">
        <w:rPr>
          <w:b/>
          <w:bCs/>
        </w:rPr>
        <w:t>Context:</w:t>
      </w:r>
      <w:r w:rsidRPr="00C25BF2">
        <w:br/>
        <w:t>Mobile Money integration involves handling financial transactions through platforms like M-PESA, MTN Mobile Money, Airtel Money, etc., which are subject to strict financial regulations and data privacy laws.</w:t>
      </w:r>
    </w:p>
    <w:p w:rsidR="00C25BF2" w:rsidRPr="00C25BF2" w:rsidRDefault="00C25BF2" w:rsidP="00C25BF2">
      <w:r w:rsidRPr="00C25BF2">
        <w:rPr>
          <w:b/>
          <w:bCs/>
        </w:rPr>
        <w:t>Compliance Focus Areas:</w:t>
      </w:r>
    </w:p>
    <w:p w:rsidR="00C25BF2" w:rsidRPr="00C25BF2" w:rsidRDefault="00C25BF2" w:rsidP="00C25BF2">
      <w:pPr>
        <w:numPr>
          <w:ilvl w:val="0"/>
          <w:numId w:val="1"/>
        </w:numPr>
      </w:pPr>
      <w:r w:rsidRPr="00C25BF2">
        <w:rPr>
          <w:b/>
          <w:bCs/>
        </w:rPr>
        <w:t>Financial Regulations:</w:t>
      </w:r>
      <w:r w:rsidRPr="00C25BF2">
        <w:t xml:space="preserve"> Adherence to Anti-Money Laundering (AML), Know Your Customer (KYC), and Payment Card Industry Data Security Standard (PCI DSS) requirements.</w:t>
      </w:r>
    </w:p>
    <w:p w:rsidR="00C25BF2" w:rsidRPr="00C25BF2" w:rsidRDefault="00C25BF2" w:rsidP="00C25BF2">
      <w:pPr>
        <w:numPr>
          <w:ilvl w:val="0"/>
          <w:numId w:val="1"/>
        </w:numPr>
      </w:pPr>
      <w:r w:rsidRPr="00C25BF2">
        <w:rPr>
          <w:b/>
          <w:bCs/>
        </w:rPr>
        <w:t>Data Privacy:</w:t>
      </w:r>
      <w:r w:rsidRPr="00C25BF2">
        <w:t xml:space="preserve"> Compliance with data protection laws (e.g., GDPR, CCPA) concerning customer transaction data.</w:t>
      </w:r>
    </w:p>
    <w:p w:rsidR="00C25BF2" w:rsidRPr="00C25BF2" w:rsidRDefault="00C25BF2" w:rsidP="00C25BF2">
      <w:pPr>
        <w:numPr>
          <w:ilvl w:val="0"/>
          <w:numId w:val="1"/>
        </w:numPr>
      </w:pPr>
      <w:r w:rsidRPr="00C25BF2">
        <w:rPr>
          <w:b/>
          <w:bCs/>
        </w:rPr>
        <w:t>Transaction Monitoring:</w:t>
      </w:r>
      <w:r w:rsidRPr="00C25BF2">
        <w:t xml:space="preserve"> Reporting suspicious transaction patterns as part of fraud prevention mandates.</w:t>
      </w:r>
    </w:p>
    <w:p w:rsidR="00C25BF2" w:rsidRPr="00C25BF2" w:rsidRDefault="00C25BF2" w:rsidP="00C25BF2">
      <w:pPr>
        <w:numPr>
          <w:ilvl w:val="0"/>
          <w:numId w:val="1"/>
        </w:numPr>
      </w:pPr>
      <w:r w:rsidRPr="00C25BF2">
        <w:rPr>
          <w:b/>
          <w:bCs/>
        </w:rPr>
        <w:t>Audit Trails:</w:t>
      </w:r>
      <w:r w:rsidRPr="00C25BF2">
        <w:t xml:space="preserve"> Complete and immutable records of mobile money transactions for audit purposes.</w:t>
      </w:r>
    </w:p>
    <w:p w:rsidR="00C25BF2" w:rsidRPr="00C25BF2" w:rsidRDefault="00C25BF2" w:rsidP="00C25BF2">
      <w:pPr>
        <w:numPr>
          <w:ilvl w:val="0"/>
          <w:numId w:val="1"/>
        </w:numPr>
      </w:pPr>
      <w:r w:rsidRPr="00C25BF2">
        <w:rPr>
          <w:b/>
          <w:bCs/>
        </w:rPr>
        <w:t>Regulatory Reporting:</w:t>
      </w:r>
      <w:r w:rsidRPr="00C25BF2">
        <w:t xml:space="preserve"> Periodic submission of transaction summaries, suspicious activity reports, or incident disclosures to regulatory bodies such as Central Banks or Financial Regulatory Authorities.</w:t>
      </w:r>
    </w:p>
    <w:p w:rsidR="00C25BF2" w:rsidRPr="00C25BF2" w:rsidRDefault="00C25BF2" w:rsidP="00C25BF2">
      <w:pPr>
        <w:numPr>
          <w:ilvl w:val="0"/>
          <w:numId w:val="1"/>
        </w:numPr>
      </w:pPr>
      <w:r w:rsidRPr="00C25BF2">
        <w:rPr>
          <w:b/>
          <w:bCs/>
        </w:rPr>
        <w:t>Third-party Vendor Compliance:</w:t>
      </w:r>
      <w:r w:rsidRPr="00C25BF2">
        <w:t xml:space="preserve"> Ensuring mobile money service providers comply with relevant regulations.</w:t>
      </w:r>
    </w:p>
    <w:p w:rsidR="00C25BF2" w:rsidRPr="00C25BF2" w:rsidRDefault="00C25BF2" w:rsidP="00C25BF2">
      <w:r w:rsidRPr="00C25BF2">
        <w:rPr>
          <w:b/>
          <w:bCs/>
        </w:rPr>
        <w:t>Audit Deliverables:</w:t>
      </w:r>
    </w:p>
    <w:p w:rsidR="00C25BF2" w:rsidRPr="00C25BF2" w:rsidRDefault="00C25BF2" w:rsidP="00C25BF2">
      <w:pPr>
        <w:numPr>
          <w:ilvl w:val="0"/>
          <w:numId w:val="2"/>
        </w:numPr>
      </w:pPr>
      <w:r w:rsidRPr="00C25BF2">
        <w:t>Documentation of mobile money transaction flows and controls.</w:t>
      </w:r>
    </w:p>
    <w:p w:rsidR="00C25BF2" w:rsidRPr="00C25BF2" w:rsidRDefault="00C25BF2" w:rsidP="00C25BF2">
      <w:pPr>
        <w:numPr>
          <w:ilvl w:val="0"/>
          <w:numId w:val="2"/>
        </w:numPr>
      </w:pPr>
      <w:r w:rsidRPr="00C25BF2">
        <w:t>Evidence of encryption and secure transmission of payment data.</w:t>
      </w:r>
    </w:p>
    <w:p w:rsidR="00C25BF2" w:rsidRPr="00C25BF2" w:rsidRDefault="00C25BF2" w:rsidP="00C25BF2">
      <w:pPr>
        <w:numPr>
          <w:ilvl w:val="0"/>
          <w:numId w:val="2"/>
        </w:numPr>
      </w:pPr>
      <w:r w:rsidRPr="00C25BF2">
        <w:t>Logs showing adherence to transaction limits and verification procedures.</w:t>
      </w:r>
    </w:p>
    <w:p w:rsidR="00C25BF2" w:rsidRPr="00C25BF2" w:rsidRDefault="00C25BF2" w:rsidP="00C25BF2">
      <w:pPr>
        <w:numPr>
          <w:ilvl w:val="0"/>
          <w:numId w:val="2"/>
        </w:numPr>
      </w:pPr>
      <w:r w:rsidRPr="00C25BF2">
        <w:t>Reports on system uptime and transaction success/failure rates.</w:t>
      </w:r>
    </w:p>
    <w:p w:rsidR="00C25BF2" w:rsidRPr="00C25BF2" w:rsidRDefault="00C25BF2" w:rsidP="00C25BF2"/>
    <w:sectPr w:rsidR="00C25BF2" w:rsidRPr="00C2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67666"/>
    <w:multiLevelType w:val="multilevel"/>
    <w:tmpl w:val="0D7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A4EBD"/>
    <w:multiLevelType w:val="multilevel"/>
    <w:tmpl w:val="ED5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846BC"/>
    <w:multiLevelType w:val="multilevel"/>
    <w:tmpl w:val="C3BA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E3083"/>
    <w:multiLevelType w:val="multilevel"/>
    <w:tmpl w:val="B9FE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B72C9"/>
    <w:multiLevelType w:val="multilevel"/>
    <w:tmpl w:val="C9D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412894">
    <w:abstractNumId w:val="2"/>
  </w:num>
  <w:num w:numId="2" w16cid:durableId="478419599">
    <w:abstractNumId w:val="3"/>
  </w:num>
  <w:num w:numId="3" w16cid:durableId="2147040422">
    <w:abstractNumId w:val="1"/>
  </w:num>
  <w:num w:numId="4" w16cid:durableId="516818133">
    <w:abstractNumId w:val="4"/>
  </w:num>
  <w:num w:numId="5" w16cid:durableId="174348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F2"/>
    <w:rsid w:val="00180A00"/>
    <w:rsid w:val="0028578E"/>
    <w:rsid w:val="00A35684"/>
    <w:rsid w:val="00C25BF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6098"/>
  <w15:chartTrackingRefBased/>
  <w15:docId w15:val="{BDD9A4BA-4CB9-42B1-A4B5-C0931BAA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2025-07-28T19:08:00Z</dcterms:created>
  <dcterms:modified xsi:type="dcterms:W3CDTF">2025-07-28T19:09:00Z</dcterms:modified>
</cp:coreProperties>
</file>