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5548" w:rsidRPr="00255548" w:rsidRDefault="00255548" w:rsidP="00255548">
      <w:pPr>
        <w:rPr>
          <w:b/>
          <w:bCs/>
        </w:rPr>
      </w:pPr>
      <w:r w:rsidRPr="00255548">
        <w:rPr>
          <w:b/>
          <w:bCs/>
        </w:rPr>
        <w:t>Deliverable 5: Data Governance, Risk Management, and Compliance Framework</w:t>
      </w:r>
    </w:p>
    <w:p w:rsidR="00255548" w:rsidRPr="00255548" w:rsidRDefault="00255548" w:rsidP="00255548">
      <w:pPr>
        <w:rPr>
          <w:b/>
          <w:bCs/>
        </w:rPr>
      </w:pPr>
      <w:r w:rsidRPr="00255548">
        <w:rPr>
          <w:b/>
          <w:bCs/>
        </w:rPr>
        <w:t>Description:</w:t>
      </w:r>
    </w:p>
    <w:p w:rsidR="00255548" w:rsidRPr="00255548" w:rsidRDefault="00255548" w:rsidP="00255548">
      <w:r w:rsidRPr="00255548">
        <w:t>This deliverable defines the policies, processes, and controls to ensure data quality, privacy, integrity, and compliance in Safaricom’s mobile money operations. It mitigates regulatory, operational, and reputational risks while enabling secure data-driven innovation.</w:t>
      </w:r>
    </w:p>
    <w:p w:rsidR="00255548" w:rsidRPr="00255548" w:rsidRDefault="00255548" w:rsidP="00255548">
      <w:pPr>
        <w:rPr>
          <w:b/>
          <w:bCs/>
        </w:rPr>
      </w:pPr>
      <w:r w:rsidRPr="00255548">
        <w:rPr>
          <w:b/>
          <w:bCs/>
        </w:rPr>
        <w:t>Components:</w:t>
      </w:r>
    </w:p>
    <w:p w:rsidR="00255548" w:rsidRPr="00255548" w:rsidRDefault="00255548" w:rsidP="00255548">
      <w:pPr>
        <w:numPr>
          <w:ilvl w:val="0"/>
          <w:numId w:val="1"/>
        </w:numPr>
      </w:pPr>
      <w:r w:rsidRPr="00255548">
        <w:rPr>
          <w:b/>
          <w:bCs/>
        </w:rPr>
        <w:t>Data Governance Policies:</w:t>
      </w:r>
    </w:p>
    <w:p w:rsidR="00255548" w:rsidRPr="00255548" w:rsidRDefault="00255548" w:rsidP="00255548">
      <w:pPr>
        <w:numPr>
          <w:ilvl w:val="1"/>
          <w:numId w:val="1"/>
        </w:numPr>
      </w:pPr>
      <w:r w:rsidRPr="00255548">
        <w:t>Data ownership and stewardship definitions</w:t>
      </w:r>
    </w:p>
    <w:p w:rsidR="00255548" w:rsidRPr="00255548" w:rsidRDefault="00255548" w:rsidP="00255548">
      <w:pPr>
        <w:numPr>
          <w:ilvl w:val="1"/>
          <w:numId w:val="1"/>
        </w:numPr>
      </w:pPr>
      <w:r w:rsidRPr="00255548">
        <w:t>Data lifecycle management (creation, usage, retention, destruction)</w:t>
      </w:r>
    </w:p>
    <w:p w:rsidR="00255548" w:rsidRPr="00255548" w:rsidRDefault="00255548" w:rsidP="00255548">
      <w:pPr>
        <w:numPr>
          <w:ilvl w:val="1"/>
          <w:numId w:val="1"/>
        </w:numPr>
      </w:pPr>
      <w:r w:rsidRPr="00255548">
        <w:t>Master data management for customer and transaction records</w:t>
      </w:r>
    </w:p>
    <w:p w:rsidR="00255548" w:rsidRPr="00255548" w:rsidRDefault="00255548" w:rsidP="00255548">
      <w:pPr>
        <w:numPr>
          <w:ilvl w:val="0"/>
          <w:numId w:val="1"/>
        </w:numPr>
      </w:pPr>
      <w:r w:rsidRPr="00255548">
        <w:rPr>
          <w:b/>
          <w:bCs/>
        </w:rPr>
        <w:t>Risk Management Plan:</w:t>
      </w:r>
    </w:p>
    <w:p w:rsidR="00255548" w:rsidRPr="00255548" w:rsidRDefault="00255548" w:rsidP="00255548">
      <w:pPr>
        <w:numPr>
          <w:ilvl w:val="1"/>
          <w:numId w:val="1"/>
        </w:numPr>
      </w:pPr>
      <w:r w:rsidRPr="00255548">
        <w:t>Risk identification (e.g., fraud, data leakage, insider threats)</w:t>
      </w:r>
    </w:p>
    <w:p w:rsidR="00255548" w:rsidRPr="00255548" w:rsidRDefault="00255548" w:rsidP="00255548">
      <w:pPr>
        <w:numPr>
          <w:ilvl w:val="1"/>
          <w:numId w:val="1"/>
        </w:numPr>
      </w:pPr>
      <w:r w:rsidRPr="00255548">
        <w:t>Risk assessment (likelihood and impact analysis)</w:t>
      </w:r>
    </w:p>
    <w:p w:rsidR="00255548" w:rsidRPr="00255548" w:rsidRDefault="00255548" w:rsidP="00255548">
      <w:pPr>
        <w:numPr>
          <w:ilvl w:val="1"/>
          <w:numId w:val="1"/>
        </w:numPr>
      </w:pPr>
      <w:r w:rsidRPr="00255548">
        <w:t>Risk mitigation strategies (tokenization, redaction, access controls)</w:t>
      </w:r>
    </w:p>
    <w:p w:rsidR="00255548" w:rsidRPr="00255548" w:rsidRDefault="00255548" w:rsidP="00255548">
      <w:pPr>
        <w:numPr>
          <w:ilvl w:val="1"/>
          <w:numId w:val="1"/>
        </w:numPr>
      </w:pPr>
      <w:r w:rsidRPr="00255548">
        <w:t>Business continuity planning (BCP) and disaster recovery (DR)</w:t>
      </w:r>
    </w:p>
    <w:p w:rsidR="00255548" w:rsidRPr="00255548" w:rsidRDefault="00255548" w:rsidP="00255548">
      <w:pPr>
        <w:numPr>
          <w:ilvl w:val="0"/>
          <w:numId w:val="1"/>
        </w:numPr>
      </w:pPr>
      <w:r w:rsidRPr="00255548">
        <w:rPr>
          <w:b/>
          <w:bCs/>
        </w:rPr>
        <w:t>Compliance Controls:</w:t>
      </w:r>
    </w:p>
    <w:p w:rsidR="00255548" w:rsidRPr="00255548" w:rsidRDefault="00255548" w:rsidP="00255548">
      <w:pPr>
        <w:numPr>
          <w:ilvl w:val="1"/>
          <w:numId w:val="1"/>
        </w:numPr>
      </w:pPr>
      <w:r w:rsidRPr="00255548">
        <w:t>Adherence to CBK Guidelines, Kenya Data Protection Act (2019)</w:t>
      </w:r>
    </w:p>
    <w:p w:rsidR="00255548" w:rsidRPr="00255548" w:rsidRDefault="00255548" w:rsidP="00255548">
      <w:pPr>
        <w:numPr>
          <w:ilvl w:val="1"/>
          <w:numId w:val="1"/>
        </w:numPr>
      </w:pPr>
      <w:r w:rsidRPr="00255548">
        <w:t>GDPR-aligned policies for handling cross-border data</w:t>
      </w:r>
    </w:p>
    <w:p w:rsidR="00255548" w:rsidRPr="00255548" w:rsidRDefault="00255548" w:rsidP="00255548">
      <w:pPr>
        <w:numPr>
          <w:ilvl w:val="1"/>
          <w:numId w:val="1"/>
        </w:numPr>
      </w:pPr>
      <w:r w:rsidRPr="00255548">
        <w:t>AML/KYC enforcement, audit logging, and traceability</w:t>
      </w:r>
    </w:p>
    <w:p w:rsidR="00255548" w:rsidRPr="00255548" w:rsidRDefault="00255548" w:rsidP="00255548">
      <w:pPr>
        <w:numPr>
          <w:ilvl w:val="1"/>
          <w:numId w:val="1"/>
        </w:numPr>
      </w:pPr>
      <w:r w:rsidRPr="00255548">
        <w:t>Internal audits and quarterly compliance reporting</w:t>
      </w:r>
    </w:p>
    <w:p w:rsidR="00255548" w:rsidRPr="00255548" w:rsidRDefault="00255548" w:rsidP="00255548">
      <w:pPr>
        <w:rPr>
          <w:b/>
          <w:bCs/>
        </w:rPr>
      </w:pPr>
      <w:r w:rsidRPr="00255548">
        <w:rPr>
          <w:b/>
          <w:bCs/>
        </w:rPr>
        <w:t>Techniques and Tools:</w:t>
      </w:r>
    </w:p>
    <w:p w:rsidR="00255548" w:rsidRPr="00255548" w:rsidRDefault="00255548" w:rsidP="00255548">
      <w:pPr>
        <w:numPr>
          <w:ilvl w:val="0"/>
          <w:numId w:val="2"/>
        </w:numPr>
      </w:pPr>
      <w:r w:rsidRPr="00255548">
        <w:rPr>
          <w:b/>
          <w:bCs/>
        </w:rPr>
        <w:t>Data classification matrix</w:t>
      </w:r>
      <w:r w:rsidRPr="00255548">
        <w:t xml:space="preserve"> and retention schedule templates</w:t>
      </w:r>
    </w:p>
    <w:p w:rsidR="00255548" w:rsidRPr="00255548" w:rsidRDefault="00255548" w:rsidP="00255548">
      <w:pPr>
        <w:numPr>
          <w:ilvl w:val="0"/>
          <w:numId w:val="2"/>
        </w:numPr>
      </w:pPr>
      <w:r w:rsidRPr="00255548">
        <w:rPr>
          <w:b/>
          <w:bCs/>
        </w:rPr>
        <w:t>DLP (Data Loss Prevention)</w:t>
      </w:r>
      <w:r w:rsidRPr="00255548">
        <w:t xml:space="preserve"> tools (e.g., Symantec DLP, Microsoft Purview)</w:t>
      </w:r>
    </w:p>
    <w:p w:rsidR="00255548" w:rsidRPr="00255548" w:rsidRDefault="00255548" w:rsidP="00255548">
      <w:pPr>
        <w:numPr>
          <w:ilvl w:val="0"/>
          <w:numId w:val="2"/>
        </w:numPr>
      </w:pPr>
      <w:r w:rsidRPr="00255548">
        <w:rPr>
          <w:b/>
          <w:bCs/>
        </w:rPr>
        <w:t>Risk Register</w:t>
      </w:r>
      <w:r w:rsidRPr="00255548">
        <w:t xml:space="preserve"> with continuous update cycle in Excel/SharePoint</w:t>
      </w:r>
    </w:p>
    <w:p w:rsidR="00255548" w:rsidRPr="00255548" w:rsidRDefault="00255548" w:rsidP="00255548">
      <w:pPr>
        <w:numPr>
          <w:ilvl w:val="0"/>
          <w:numId w:val="2"/>
        </w:numPr>
      </w:pPr>
      <w:r w:rsidRPr="00255548">
        <w:t xml:space="preserve">Integration of </w:t>
      </w:r>
      <w:r w:rsidRPr="00255548">
        <w:rPr>
          <w:b/>
          <w:bCs/>
        </w:rPr>
        <w:t>SIEM systems</w:t>
      </w:r>
      <w:r w:rsidRPr="00255548">
        <w:t xml:space="preserve"> (e.g., Splunk, </w:t>
      </w:r>
      <w:proofErr w:type="spellStart"/>
      <w:r w:rsidRPr="00255548">
        <w:t>QRadar</w:t>
      </w:r>
      <w:proofErr w:type="spellEnd"/>
      <w:r w:rsidRPr="00255548">
        <w:t>) for real-time monitoring</w:t>
      </w:r>
    </w:p>
    <w:p w:rsidR="00255548" w:rsidRPr="00255548" w:rsidRDefault="00255548" w:rsidP="00255548">
      <w:pPr>
        <w:numPr>
          <w:ilvl w:val="0"/>
          <w:numId w:val="2"/>
        </w:numPr>
      </w:pPr>
      <w:r w:rsidRPr="00255548">
        <w:t xml:space="preserve">Internal </w:t>
      </w:r>
      <w:r w:rsidRPr="00255548">
        <w:rPr>
          <w:b/>
          <w:bCs/>
        </w:rPr>
        <w:t>compliance dashboard</w:t>
      </w:r>
      <w:r w:rsidRPr="00255548">
        <w:t xml:space="preserve"> for audit and policy tracking</w:t>
      </w:r>
    </w:p>
    <w:p w:rsidR="00255548" w:rsidRPr="00255548" w:rsidRDefault="00255548" w:rsidP="00255548">
      <w:pPr>
        <w:rPr>
          <w:b/>
          <w:bCs/>
        </w:rPr>
      </w:pPr>
      <w:r w:rsidRPr="00255548">
        <w:rPr>
          <w:b/>
          <w:bCs/>
        </w:rPr>
        <w:t>Complexity and Strategic Importance at Safaricom:</w:t>
      </w:r>
    </w:p>
    <w:p w:rsidR="00255548" w:rsidRPr="00255548" w:rsidRDefault="00255548" w:rsidP="00255548">
      <w:pPr>
        <w:numPr>
          <w:ilvl w:val="0"/>
          <w:numId w:val="3"/>
        </w:numPr>
      </w:pPr>
      <w:r w:rsidRPr="00255548">
        <w:lastRenderedPageBreak/>
        <w:t xml:space="preserve">Operates in a </w:t>
      </w:r>
      <w:r w:rsidRPr="00255548">
        <w:rPr>
          <w:b/>
          <w:bCs/>
        </w:rPr>
        <w:t>highly regulated financial ecosystem</w:t>
      </w:r>
      <w:r w:rsidRPr="00255548">
        <w:t>, under CBK and anti-money laundering oversight.</w:t>
      </w:r>
    </w:p>
    <w:p w:rsidR="00255548" w:rsidRPr="00255548" w:rsidRDefault="00255548" w:rsidP="00255548">
      <w:pPr>
        <w:numPr>
          <w:ilvl w:val="0"/>
          <w:numId w:val="3"/>
        </w:numPr>
      </w:pPr>
      <w:r w:rsidRPr="00255548">
        <w:t xml:space="preserve">Must manage </w:t>
      </w:r>
      <w:r w:rsidRPr="00255548">
        <w:rPr>
          <w:b/>
          <w:bCs/>
        </w:rPr>
        <w:t>petabyte-scale sensitive customer data</w:t>
      </w:r>
      <w:r w:rsidRPr="00255548">
        <w:t xml:space="preserve"> with multi-level access control.</w:t>
      </w:r>
    </w:p>
    <w:p w:rsidR="00255548" w:rsidRPr="00255548" w:rsidRDefault="00255548" w:rsidP="00255548">
      <w:pPr>
        <w:numPr>
          <w:ilvl w:val="0"/>
          <w:numId w:val="3"/>
        </w:numPr>
      </w:pPr>
      <w:r w:rsidRPr="00255548">
        <w:t xml:space="preserve">Requires coordination across </w:t>
      </w:r>
      <w:r w:rsidRPr="00255548">
        <w:rPr>
          <w:b/>
          <w:bCs/>
        </w:rPr>
        <w:t>legal, risk, IT security, and product units</w:t>
      </w:r>
      <w:r w:rsidRPr="00255548">
        <w:t>.</w:t>
      </w:r>
    </w:p>
    <w:p w:rsidR="00255548" w:rsidRPr="00255548" w:rsidRDefault="00255548" w:rsidP="00255548">
      <w:pPr>
        <w:numPr>
          <w:ilvl w:val="0"/>
          <w:numId w:val="3"/>
        </w:numPr>
      </w:pPr>
      <w:r w:rsidRPr="00255548">
        <w:t xml:space="preserve">Supports </w:t>
      </w:r>
      <w:r w:rsidRPr="00255548">
        <w:rPr>
          <w:b/>
          <w:bCs/>
        </w:rPr>
        <w:t>cross-border data compliance</w:t>
      </w:r>
      <w:r w:rsidRPr="00255548">
        <w:t xml:space="preserve"> in regional markets (e.g., Ethiopia, Tanzania).</w:t>
      </w:r>
    </w:p>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F3AF5"/>
    <w:multiLevelType w:val="multilevel"/>
    <w:tmpl w:val="144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04F29"/>
    <w:multiLevelType w:val="multilevel"/>
    <w:tmpl w:val="53BE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D6C2B"/>
    <w:multiLevelType w:val="multilevel"/>
    <w:tmpl w:val="DD68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202448">
    <w:abstractNumId w:val="1"/>
  </w:num>
  <w:num w:numId="2" w16cid:durableId="1224826783">
    <w:abstractNumId w:val="2"/>
  </w:num>
  <w:num w:numId="3" w16cid:durableId="122437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48"/>
    <w:rsid w:val="00180A00"/>
    <w:rsid w:val="001E0910"/>
    <w:rsid w:val="00255548"/>
    <w:rsid w:val="0028578E"/>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81D23-8EC1-4AA8-B3B9-602E596C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5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5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5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5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5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5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5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5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48"/>
    <w:rPr>
      <w:rFonts w:eastAsiaTheme="majorEastAsia" w:cstheme="majorBidi"/>
      <w:color w:val="272727" w:themeColor="text1" w:themeTint="D8"/>
    </w:rPr>
  </w:style>
  <w:style w:type="paragraph" w:styleId="Title">
    <w:name w:val="Title"/>
    <w:basedOn w:val="Normal"/>
    <w:next w:val="Normal"/>
    <w:link w:val="TitleChar"/>
    <w:uiPriority w:val="10"/>
    <w:qFormat/>
    <w:rsid w:val="00255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48"/>
    <w:pPr>
      <w:spacing w:before="160"/>
      <w:jc w:val="center"/>
    </w:pPr>
    <w:rPr>
      <w:i/>
      <w:iCs/>
      <w:color w:val="404040" w:themeColor="text1" w:themeTint="BF"/>
    </w:rPr>
  </w:style>
  <w:style w:type="character" w:customStyle="1" w:styleId="QuoteChar">
    <w:name w:val="Quote Char"/>
    <w:basedOn w:val="DefaultParagraphFont"/>
    <w:link w:val="Quote"/>
    <w:uiPriority w:val="29"/>
    <w:rsid w:val="00255548"/>
    <w:rPr>
      <w:i/>
      <w:iCs/>
      <w:color w:val="404040" w:themeColor="text1" w:themeTint="BF"/>
    </w:rPr>
  </w:style>
  <w:style w:type="paragraph" w:styleId="ListParagraph">
    <w:name w:val="List Paragraph"/>
    <w:basedOn w:val="Normal"/>
    <w:uiPriority w:val="34"/>
    <w:qFormat/>
    <w:rsid w:val="00255548"/>
    <w:pPr>
      <w:ind w:left="720"/>
      <w:contextualSpacing/>
    </w:pPr>
  </w:style>
  <w:style w:type="character" w:styleId="IntenseEmphasis">
    <w:name w:val="Intense Emphasis"/>
    <w:basedOn w:val="DefaultParagraphFont"/>
    <w:uiPriority w:val="21"/>
    <w:qFormat/>
    <w:rsid w:val="00255548"/>
    <w:rPr>
      <w:i/>
      <w:iCs/>
      <w:color w:val="2F5496" w:themeColor="accent1" w:themeShade="BF"/>
    </w:rPr>
  </w:style>
  <w:style w:type="paragraph" w:styleId="IntenseQuote">
    <w:name w:val="Intense Quote"/>
    <w:basedOn w:val="Normal"/>
    <w:next w:val="Normal"/>
    <w:link w:val="IntenseQuoteChar"/>
    <w:uiPriority w:val="30"/>
    <w:qFormat/>
    <w:rsid w:val="002555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548"/>
    <w:rPr>
      <w:i/>
      <w:iCs/>
      <w:color w:val="2F5496" w:themeColor="accent1" w:themeShade="BF"/>
    </w:rPr>
  </w:style>
  <w:style w:type="character" w:styleId="IntenseReference">
    <w:name w:val="Intense Reference"/>
    <w:basedOn w:val="DefaultParagraphFont"/>
    <w:uiPriority w:val="32"/>
    <w:qFormat/>
    <w:rsid w:val="002555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862299">
      <w:bodyDiv w:val="1"/>
      <w:marLeft w:val="0"/>
      <w:marRight w:val="0"/>
      <w:marTop w:val="0"/>
      <w:marBottom w:val="0"/>
      <w:divBdr>
        <w:top w:val="none" w:sz="0" w:space="0" w:color="auto"/>
        <w:left w:val="none" w:sz="0" w:space="0" w:color="auto"/>
        <w:bottom w:val="none" w:sz="0" w:space="0" w:color="auto"/>
        <w:right w:val="none" w:sz="0" w:space="0" w:color="auto"/>
      </w:divBdr>
    </w:div>
    <w:div w:id="97853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1</cp:revision>
  <dcterms:created xsi:type="dcterms:W3CDTF">2025-07-25T18:18:00Z</dcterms:created>
  <dcterms:modified xsi:type="dcterms:W3CDTF">2025-07-25T18:19:00Z</dcterms:modified>
</cp:coreProperties>
</file>