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7E0A" w:rsidRDefault="00247E0A" w:rsidP="00247E0A">
      <w:pPr>
        <w:rPr>
          <w:b/>
          <w:bCs/>
        </w:rPr>
      </w:pPr>
      <w:r w:rsidRPr="00BA5948">
        <w:rPr>
          <w:b/>
          <w:bCs/>
        </w:rPr>
        <w:t xml:space="preserve"> </w:t>
      </w:r>
      <w:r>
        <w:rPr>
          <w:b/>
          <w:bCs/>
        </w:rPr>
        <w:t xml:space="preserve">Project: Mobile money platform integration in telco </w:t>
      </w:r>
    </w:p>
    <w:p w:rsidR="00247E0A" w:rsidRDefault="00247E0A" w:rsidP="00247E0A">
      <w:pPr>
        <w:rPr>
          <w:b/>
          <w:bCs/>
        </w:rPr>
      </w:pPr>
      <w:r>
        <w:rPr>
          <w:b/>
          <w:bCs/>
        </w:rPr>
        <w:t>Date: July 2025</w:t>
      </w:r>
    </w:p>
    <w:p w:rsidR="00247E0A" w:rsidRPr="00BA5948" w:rsidRDefault="00247E0A" w:rsidP="00247E0A">
      <w:pPr>
        <w:rPr>
          <w:b/>
          <w:bCs/>
        </w:rPr>
      </w:pPr>
      <w:r w:rsidRPr="00BA5948">
        <w:rPr>
          <w:b/>
          <w:bCs/>
        </w:rPr>
        <w:t>Procurement Plan – APIs, Security &amp; Compliance Tools</w:t>
      </w:r>
    </w:p>
    <w:p w:rsidR="00247E0A" w:rsidRPr="00BA5948" w:rsidRDefault="00247E0A" w:rsidP="00247E0A">
      <w:r w:rsidRPr="00BA5948">
        <w:t>Defines sourcing strategy and evaluation criteria for essential 3rd-party tools in the mobile money ecosystem.</w:t>
      </w:r>
    </w:p>
    <w:p w:rsidR="00247E0A" w:rsidRPr="00BA5948" w:rsidRDefault="00247E0A" w:rsidP="00247E0A">
      <w:pPr>
        <w:rPr>
          <w:b/>
          <w:bCs/>
        </w:rPr>
      </w:pPr>
      <w:r w:rsidRPr="00BA5948">
        <w:rPr>
          <w:b/>
          <w:bCs/>
        </w:rPr>
        <w:t>Key Procurement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8140"/>
      </w:tblGrid>
      <w:tr w:rsidR="00247E0A" w:rsidRPr="00BA5948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Examples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APIs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Bank APIs, FX rate APIs, Telco account APIs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Security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Encryption libraries (e.g., Vault, HSM), 2FA tools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Compliance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 xml:space="preserve">AML/KYC verification APIs, transaction monitoring engines (e.g., </w:t>
            </w:r>
            <w:proofErr w:type="spellStart"/>
            <w:r w:rsidRPr="00BA5948">
              <w:t>ComplyAdvantage</w:t>
            </w:r>
            <w:proofErr w:type="spellEnd"/>
            <w:r w:rsidRPr="00BA5948">
              <w:t>, Refinitiv)</w:t>
            </w:r>
          </w:p>
        </w:tc>
      </w:tr>
    </w:tbl>
    <w:p w:rsidR="00247E0A" w:rsidRPr="00BA5948" w:rsidRDefault="00247E0A" w:rsidP="00247E0A">
      <w:pPr>
        <w:rPr>
          <w:b/>
          <w:bCs/>
        </w:rPr>
      </w:pPr>
      <w:r w:rsidRPr="00BA5948">
        <w:rPr>
          <w:b/>
          <w:bCs/>
        </w:rPr>
        <w:t>Procurement Phases</w:t>
      </w:r>
    </w:p>
    <w:p w:rsidR="00247E0A" w:rsidRPr="00BA5948" w:rsidRDefault="00247E0A" w:rsidP="00247E0A">
      <w:pPr>
        <w:numPr>
          <w:ilvl w:val="0"/>
          <w:numId w:val="1"/>
        </w:numPr>
      </w:pPr>
      <w:r w:rsidRPr="00BA5948">
        <w:rPr>
          <w:b/>
          <w:bCs/>
        </w:rPr>
        <w:t>Requirements Definition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Functional specs (e.g., real-time KYC verification)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Regulatory minimums (e.g., GDPR, CBK guidelines)</w:t>
      </w:r>
    </w:p>
    <w:p w:rsidR="00247E0A" w:rsidRPr="00BA5948" w:rsidRDefault="00247E0A" w:rsidP="00247E0A">
      <w:pPr>
        <w:numPr>
          <w:ilvl w:val="0"/>
          <w:numId w:val="1"/>
        </w:numPr>
      </w:pPr>
      <w:r w:rsidRPr="00BA5948">
        <w:rPr>
          <w:b/>
          <w:bCs/>
        </w:rPr>
        <w:t>Vendor Evaluation Criteria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1167"/>
      </w:tblGrid>
      <w:tr w:rsidR="00247E0A" w:rsidRPr="00BA5948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pPr>
              <w:rPr>
                <w:b/>
                <w:bCs/>
              </w:rPr>
            </w:pPr>
            <w:r w:rsidRPr="00BA5948">
              <w:rPr>
                <w:b/>
                <w:bCs/>
              </w:rPr>
              <w:t>Weight (%)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Regulatory Certification (PCI-DSS, ISO 27001)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30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System Uptime SLA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20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API Response Time (&lt;500ms avg)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15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Cost Structure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15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Local Support Availability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10</w:t>
            </w:r>
          </w:p>
        </w:tc>
      </w:tr>
      <w:tr w:rsidR="00247E0A" w:rsidRPr="00BA5948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Integration Complexity</w:t>
            </w:r>
          </w:p>
        </w:tc>
        <w:tc>
          <w:tcPr>
            <w:tcW w:w="0" w:type="auto"/>
            <w:vAlign w:val="center"/>
            <w:hideMark/>
          </w:tcPr>
          <w:p w:rsidR="00247E0A" w:rsidRPr="00BA5948" w:rsidRDefault="00247E0A" w:rsidP="00D8276A">
            <w:r w:rsidRPr="00BA5948">
              <w:t>10</w:t>
            </w:r>
          </w:p>
        </w:tc>
      </w:tr>
    </w:tbl>
    <w:p w:rsidR="00247E0A" w:rsidRPr="00BA5948" w:rsidRDefault="00247E0A" w:rsidP="00247E0A">
      <w:pPr>
        <w:numPr>
          <w:ilvl w:val="0"/>
          <w:numId w:val="1"/>
        </w:numPr>
      </w:pPr>
      <w:r w:rsidRPr="00BA5948">
        <w:rPr>
          <w:b/>
          <w:bCs/>
        </w:rPr>
        <w:t>RFP/RFQ Process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Sent to pre-qualified vendors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lastRenderedPageBreak/>
        <w:t>NDA &amp; due diligence</w:t>
      </w:r>
    </w:p>
    <w:p w:rsidR="00247E0A" w:rsidRPr="00BA5948" w:rsidRDefault="00247E0A" w:rsidP="00247E0A">
      <w:pPr>
        <w:numPr>
          <w:ilvl w:val="0"/>
          <w:numId w:val="1"/>
        </w:numPr>
      </w:pPr>
      <w:r w:rsidRPr="00BA5948">
        <w:rPr>
          <w:b/>
          <w:bCs/>
        </w:rPr>
        <w:t>Contracting &amp; Onboarding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Legal review (compliance clauses, indemnity)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Technical onboarding (API keys, sandbox access)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SLA and penalties documentation</w:t>
      </w:r>
    </w:p>
    <w:p w:rsidR="00247E0A" w:rsidRPr="00BA5948" w:rsidRDefault="00247E0A" w:rsidP="00247E0A">
      <w:pPr>
        <w:numPr>
          <w:ilvl w:val="0"/>
          <w:numId w:val="1"/>
        </w:numPr>
      </w:pPr>
      <w:r w:rsidRPr="00BA5948">
        <w:rPr>
          <w:b/>
          <w:bCs/>
        </w:rPr>
        <w:t>Ongoing Vendor Monitoring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Quarterly performance reviews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Compliance audit checkpoints</w:t>
      </w:r>
    </w:p>
    <w:p w:rsidR="00247E0A" w:rsidRPr="00BA5948" w:rsidRDefault="00247E0A" w:rsidP="00247E0A">
      <w:pPr>
        <w:numPr>
          <w:ilvl w:val="1"/>
          <w:numId w:val="1"/>
        </w:numPr>
      </w:pPr>
      <w:r w:rsidRPr="00BA5948">
        <w:t>API deprecation/upgrade notices</w:t>
      </w:r>
    </w:p>
    <w:p w:rsidR="00247E0A" w:rsidRDefault="00247E0A" w:rsidP="00247E0A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19E1"/>
    <w:multiLevelType w:val="multilevel"/>
    <w:tmpl w:val="1CE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1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0A"/>
    <w:rsid w:val="00180A00"/>
    <w:rsid w:val="00247E0A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510D"/>
  <w15:chartTrackingRefBased/>
  <w15:docId w15:val="{95FCD801-32E0-4E3A-9F94-534A63DA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0A"/>
  </w:style>
  <w:style w:type="paragraph" w:styleId="Heading1">
    <w:name w:val="heading 1"/>
    <w:basedOn w:val="Normal"/>
    <w:next w:val="Normal"/>
    <w:link w:val="Heading1Char"/>
    <w:uiPriority w:val="9"/>
    <w:qFormat/>
    <w:rsid w:val="00247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2025-07-28T18:05:00Z</dcterms:created>
  <dcterms:modified xsi:type="dcterms:W3CDTF">2025-07-28T18:06:00Z</dcterms:modified>
</cp:coreProperties>
</file>