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0100" w:rsidRPr="003B4A9E" w:rsidRDefault="001F0100" w:rsidP="001F0100">
      <w:pPr>
        <w:rPr>
          <w:rFonts w:ascii="Times New Roman" w:hAnsi="Times New Roman" w:cs="Times New Roman"/>
          <w:b/>
          <w:bCs/>
        </w:rPr>
      </w:pPr>
      <w:r w:rsidRPr="003B4A9E">
        <w:rPr>
          <w:rFonts w:ascii="Times New Roman" w:hAnsi="Times New Roman" w:cs="Times New Roman"/>
          <w:b/>
          <w:bCs/>
        </w:rPr>
        <w:t>Risk Management Plan – Focused on Fraud, Downtime, and Compliance</w:t>
      </w:r>
    </w:p>
    <w:p w:rsidR="001F0100" w:rsidRPr="003B4A9E" w:rsidRDefault="001F0100" w:rsidP="001F0100">
      <w:pPr>
        <w:rPr>
          <w:rFonts w:ascii="Times New Roman" w:hAnsi="Times New Roman" w:cs="Times New Roman"/>
        </w:rPr>
      </w:pPr>
      <w:r w:rsidRPr="003B4A9E">
        <w:rPr>
          <w:rFonts w:ascii="Times New Roman" w:hAnsi="Times New Roman" w:cs="Times New Roman"/>
          <w:b/>
          <w:bCs/>
        </w:rPr>
        <w:t>Key Risk Categories &amp; Mitigation Strategies: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3"/>
        <w:gridCol w:w="1168"/>
        <w:gridCol w:w="874"/>
        <w:gridCol w:w="4625"/>
      </w:tblGrid>
      <w:tr w:rsidR="001F0100" w:rsidRPr="003B4A9E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3B4A9E">
              <w:rPr>
                <w:rFonts w:ascii="Times New Roman" w:hAnsi="Times New Roman" w:cs="Times New Roman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3B4A9E">
              <w:rPr>
                <w:rFonts w:ascii="Times New Roman" w:hAnsi="Times New Roman" w:cs="Times New Roman"/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3B4A9E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3B4A9E">
              <w:rPr>
                <w:rFonts w:ascii="Times New Roman" w:hAnsi="Times New Roman" w:cs="Times New Roman"/>
                <w:b/>
                <w:bCs/>
              </w:rPr>
              <w:t>Mitigation Strategy</w:t>
            </w:r>
          </w:p>
        </w:tc>
      </w:tr>
      <w:tr w:rsidR="001F0100" w:rsidRPr="003B4A9E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SIM Swap Fraud</w:t>
            </w:r>
          </w:p>
        </w:tc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Multi-factor authentication, real-time alerts</w:t>
            </w:r>
          </w:p>
        </w:tc>
      </w:tr>
      <w:tr w:rsidR="001F0100" w:rsidRPr="003B4A9E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Regulatory Non-Compliance</w:t>
            </w:r>
          </w:p>
        </w:tc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Early engagement with CBK, Data Protection Officer review</w:t>
            </w:r>
          </w:p>
        </w:tc>
      </w:tr>
      <w:tr w:rsidR="001F0100" w:rsidRPr="003B4A9E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Downtime during Integration</w:t>
            </w:r>
          </w:p>
        </w:tc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Blue-green deployment, rollback plan, 24/7 support</w:t>
            </w:r>
          </w:p>
        </w:tc>
      </w:tr>
      <w:tr w:rsidR="001F0100" w:rsidRPr="003B4A9E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API Breach or Token Hijack</w:t>
            </w:r>
          </w:p>
        </w:tc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Use of OAuth2, token expiration policies, HMAC</w:t>
            </w:r>
          </w:p>
        </w:tc>
      </w:tr>
      <w:tr w:rsidR="001F0100" w:rsidRPr="003B4A9E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KYC Data Leakage</w:t>
            </w:r>
          </w:p>
        </w:tc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End-to-end encryption, role-based access control, data masking</w:t>
            </w:r>
          </w:p>
        </w:tc>
      </w:tr>
      <w:tr w:rsidR="001F0100" w:rsidRPr="003B4A9E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Customer Trust Erosion</w:t>
            </w:r>
          </w:p>
        </w:tc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Transparent dispute resolution channels, UX testing</w:t>
            </w:r>
          </w:p>
        </w:tc>
      </w:tr>
      <w:tr w:rsidR="001F0100" w:rsidRPr="003B4A9E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Vendor/API Downtime (e.g., Bank)</w:t>
            </w:r>
          </w:p>
        </w:tc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Redundant APIs, failover logic, monitoring integrations</w:t>
            </w:r>
          </w:p>
        </w:tc>
      </w:tr>
      <w:tr w:rsidR="001F0100" w:rsidRPr="003B4A9E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Fraudulent Transactions</w:t>
            </w:r>
          </w:p>
        </w:tc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AI-driven anomaly detection, daily limit controls, velocity checks</w:t>
            </w:r>
          </w:p>
        </w:tc>
      </w:tr>
      <w:tr w:rsidR="001F0100" w:rsidRPr="003B4A9E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Inadequate Agent Training</w:t>
            </w:r>
          </w:p>
        </w:tc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1F0100" w:rsidRPr="003B4A9E" w:rsidRDefault="001F0100" w:rsidP="00D8276A">
            <w:pPr>
              <w:rPr>
                <w:rFonts w:ascii="Times New Roman" w:hAnsi="Times New Roman" w:cs="Times New Roman"/>
              </w:rPr>
            </w:pPr>
            <w:r w:rsidRPr="003B4A9E">
              <w:rPr>
                <w:rFonts w:ascii="Times New Roman" w:hAnsi="Times New Roman" w:cs="Times New Roman"/>
              </w:rPr>
              <w:t>Curriculum design + LMS, training effectiveness tracking</w:t>
            </w:r>
          </w:p>
        </w:tc>
      </w:tr>
    </w:tbl>
    <w:p w:rsidR="001F0100" w:rsidRPr="001F0100" w:rsidRDefault="001F0100" w:rsidP="001F0100">
      <w:pPr>
        <w:rPr>
          <w:rFonts w:ascii="Times New Roman" w:hAnsi="Times New Roman" w:cs="Times New Roman"/>
        </w:rPr>
      </w:pPr>
    </w:p>
    <w:p w:rsidR="00DE38F6" w:rsidRPr="001F0100" w:rsidRDefault="00DE38F6">
      <w:pPr>
        <w:rPr>
          <w:rFonts w:ascii="Times New Roman" w:hAnsi="Times New Roman" w:cs="Times New Roman"/>
        </w:rPr>
      </w:pPr>
    </w:p>
    <w:sectPr w:rsidR="00DE38F6" w:rsidRPr="001F0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00"/>
    <w:rsid w:val="00180A00"/>
    <w:rsid w:val="001F0100"/>
    <w:rsid w:val="0028578E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31105-2EB1-42B2-9675-72AC13FD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100"/>
  </w:style>
  <w:style w:type="paragraph" w:styleId="Heading1">
    <w:name w:val="heading 1"/>
    <w:basedOn w:val="Normal"/>
    <w:next w:val="Normal"/>
    <w:link w:val="Heading1Char"/>
    <w:uiPriority w:val="9"/>
    <w:qFormat/>
    <w:rsid w:val="001F0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1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1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1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1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1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1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1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1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1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1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2025-07-28T18:00:00Z</dcterms:created>
  <dcterms:modified xsi:type="dcterms:W3CDTF">2025-07-28T18:01:00Z</dcterms:modified>
</cp:coreProperties>
</file>