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C25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Governance Structure and Roles Definition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047889EB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A. Governance Structure Overview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5"/>
        <w:gridCol w:w="2024"/>
        <w:gridCol w:w="2233"/>
        <w:gridCol w:w="2137"/>
        <w:gridCol w:w="1291"/>
      </w:tblGrid>
      <w:tr w14:paraId="761752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C73CA4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Governance Level</w:t>
            </w:r>
          </w:p>
        </w:tc>
        <w:tc>
          <w:tcPr>
            <w:tcW w:w="0" w:type="auto"/>
            <w:vAlign w:val="center"/>
          </w:tcPr>
          <w:p w14:paraId="742F8E8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</w:tcPr>
          <w:p w14:paraId="32351EB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Key Responsibilities</w:t>
            </w:r>
          </w:p>
        </w:tc>
        <w:tc>
          <w:tcPr>
            <w:tcW w:w="0" w:type="auto"/>
            <w:vAlign w:val="center"/>
          </w:tcPr>
          <w:p w14:paraId="3077D44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Members / Roles</w:t>
            </w:r>
          </w:p>
        </w:tc>
        <w:tc>
          <w:tcPr>
            <w:tcW w:w="0" w:type="auto"/>
            <w:vAlign w:val="center"/>
          </w:tcPr>
          <w:p w14:paraId="752C968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Meeting Frequency</w:t>
            </w:r>
          </w:p>
        </w:tc>
      </w:tr>
      <w:tr w14:paraId="0F1B3D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A7AB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Steering Committee</w:t>
            </w:r>
          </w:p>
        </w:tc>
        <w:tc>
          <w:tcPr>
            <w:tcW w:w="0" w:type="auto"/>
            <w:vAlign w:val="center"/>
          </w:tcPr>
          <w:p w14:paraId="3494AE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Strategic oversight and decision-making</w:t>
            </w:r>
          </w:p>
        </w:tc>
        <w:tc>
          <w:tcPr>
            <w:tcW w:w="0" w:type="auto"/>
            <w:vAlign w:val="center"/>
          </w:tcPr>
          <w:p w14:paraId="1A2416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Approve major deliverables, budgets, scope changes</w:t>
            </w:r>
          </w:p>
        </w:tc>
        <w:tc>
          <w:tcPr>
            <w:tcW w:w="0" w:type="auto"/>
            <w:vAlign w:val="center"/>
          </w:tcPr>
          <w:p w14:paraId="20CDD2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 Sponsor, CIO, Business Heads, PMO Director</w:t>
            </w:r>
          </w:p>
        </w:tc>
        <w:tc>
          <w:tcPr>
            <w:tcW w:w="0" w:type="auto"/>
            <w:vAlign w:val="center"/>
          </w:tcPr>
          <w:p w14:paraId="566330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</w:tr>
      <w:tr w14:paraId="472697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6123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Management Office (PMO)</w:t>
            </w:r>
          </w:p>
        </w:tc>
        <w:tc>
          <w:tcPr>
            <w:tcW w:w="0" w:type="auto"/>
            <w:vAlign w:val="center"/>
          </w:tcPr>
          <w:p w14:paraId="11E845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coordination, monitoring, and reporting</w:t>
            </w:r>
          </w:p>
        </w:tc>
        <w:tc>
          <w:tcPr>
            <w:tcW w:w="0" w:type="auto"/>
            <w:vAlign w:val="center"/>
          </w:tcPr>
          <w:p w14:paraId="33A023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Track progress, manage risks, resource allocation</w:t>
            </w:r>
          </w:p>
        </w:tc>
        <w:tc>
          <w:tcPr>
            <w:tcW w:w="0" w:type="auto"/>
            <w:vAlign w:val="center"/>
          </w:tcPr>
          <w:p w14:paraId="0FB302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Manager, PMO Analysts</w:t>
            </w:r>
          </w:p>
        </w:tc>
        <w:tc>
          <w:tcPr>
            <w:tcW w:w="0" w:type="auto"/>
            <w:vAlign w:val="center"/>
          </w:tcPr>
          <w:p w14:paraId="45FEF1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</w:tr>
      <w:tr w14:paraId="528CDE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344F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Technical Advisory Board</w:t>
            </w:r>
          </w:p>
        </w:tc>
        <w:tc>
          <w:tcPr>
            <w:tcW w:w="0" w:type="auto"/>
            <w:vAlign w:val="center"/>
          </w:tcPr>
          <w:p w14:paraId="2D2BC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 technical guidance and solution validation</w:t>
            </w:r>
          </w:p>
        </w:tc>
        <w:tc>
          <w:tcPr>
            <w:tcW w:w="0" w:type="auto"/>
            <w:vAlign w:val="center"/>
          </w:tcPr>
          <w:p w14:paraId="796328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architecture, integration approaches, standards</w:t>
            </w:r>
          </w:p>
        </w:tc>
        <w:tc>
          <w:tcPr>
            <w:tcW w:w="0" w:type="auto"/>
            <w:vAlign w:val="center"/>
          </w:tcPr>
          <w:p w14:paraId="2858F0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CTO, Solution Architect, Lead Engineers</w:t>
            </w:r>
          </w:p>
        </w:tc>
        <w:tc>
          <w:tcPr>
            <w:tcW w:w="0" w:type="auto"/>
            <w:vAlign w:val="center"/>
          </w:tcPr>
          <w:p w14:paraId="486407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Bi-weekly</w:t>
            </w:r>
          </w:p>
        </w:tc>
      </w:tr>
      <w:tr w14:paraId="3E19B5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85F0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Business Advisory Group</w:t>
            </w:r>
          </w:p>
        </w:tc>
        <w:tc>
          <w:tcPr>
            <w:tcW w:w="0" w:type="auto"/>
            <w:vAlign w:val="center"/>
          </w:tcPr>
          <w:p w14:paraId="41B52C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Represent business unit interests and validate requirements</w:t>
            </w:r>
          </w:p>
        </w:tc>
        <w:tc>
          <w:tcPr>
            <w:tcW w:w="0" w:type="auto"/>
            <w:vAlign w:val="center"/>
          </w:tcPr>
          <w:p w14:paraId="413E1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Confirm business needs, support UAT and change requests</w:t>
            </w:r>
          </w:p>
        </w:tc>
        <w:tc>
          <w:tcPr>
            <w:tcW w:w="0" w:type="auto"/>
            <w:vAlign w:val="center"/>
          </w:tcPr>
          <w:p w14:paraId="134115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Unit Leads (Billing, Finance, Customer Care)</w:t>
            </w:r>
          </w:p>
        </w:tc>
        <w:tc>
          <w:tcPr>
            <w:tcW w:w="0" w:type="auto"/>
            <w:vAlign w:val="center"/>
          </w:tcPr>
          <w:p w14:paraId="4E0696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</w:tr>
      <w:tr w14:paraId="29E346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0FAA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Change Control Board (CCB)</w:t>
            </w:r>
          </w:p>
        </w:tc>
        <w:tc>
          <w:tcPr>
            <w:tcW w:w="0" w:type="auto"/>
            <w:vAlign w:val="center"/>
          </w:tcPr>
          <w:p w14:paraId="48A82C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 and approve changes to project scope, schedule, budget</w:t>
            </w:r>
          </w:p>
        </w:tc>
        <w:tc>
          <w:tcPr>
            <w:tcW w:w="0" w:type="auto"/>
            <w:vAlign w:val="center"/>
          </w:tcPr>
          <w:p w14:paraId="651804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Evaluate and approve/reject change requests</w:t>
            </w:r>
          </w:p>
        </w:tc>
        <w:tc>
          <w:tcPr>
            <w:tcW w:w="0" w:type="auto"/>
            <w:vAlign w:val="center"/>
          </w:tcPr>
          <w:p w14:paraId="13ADD9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PM, Business Analyst, Technical Lead, Sponsor Rep</w:t>
            </w:r>
          </w:p>
        </w:tc>
        <w:tc>
          <w:tcPr>
            <w:tcW w:w="0" w:type="auto"/>
            <w:vAlign w:val="center"/>
          </w:tcPr>
          <w:p w14:paraId="708360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needed (ad hoc)</w:t>
            </w:r>
          </w:p>
        </w:tc>
      </w:tr>
      <w:tr w14:paraId="409372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029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Quality Assurance Team</w:t>
            </w:r>
          </w:p>
        </w:tc>
        <w:tc>
          <w:tcPr>
            <w:tcW w:w="0" w:type="auto"/>
            <w:vAlign w:val="center"/>
          </w:tcPr>
          <w:p w14:paraId="443C65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quality standards and testing rigor</w:t>
            </w:r>
          </w:p>
        </w:tc>
        <w:tc>
          <w:tcPr>
            <w:tcW w:w="0" w:type="auto"/>
            <w:vAlign w:val="center"/>
          </w:tcPr>
          <w:p w14:paraId="667A5E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 QA plans, conduct audits, approve testing results</w:t>
            </w:r>
          </w:p>
        </w:tc>
        <w:tc>
          <w:tcPr>
            <w:tcW w:w="0" w:type="auto"/>
            <w:vAlign w:val="center"/>
          </w:tcPr>
          <w:p w14:paraId="428A7B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Manager, Test Leads, User Representatives</w:t>
            </w:r>
          </w:p>
        </w:tc>
        <w:tc>
          <w:tcPr>
            <w:tcW w:w="0" w:type="auto"/>
            <w:vAlign w:val="center"/>
          </w:tcPr>
          <w:p w14:paraId="0C481C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</w:tr>
      <w:tr w14:paraId="0A5BC0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42C6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Security and Compliance Committee</w:t>
            </w:r>
          </w:p>
        </w:tc>
        <w:tc>
          <w:tcPr>
            <w:tcW w:w="0" w:type="auto"/>
            <w:vAlign w:val="center"/>
          </w:tcPr>
          <w:p w14:paraId="5CC1DE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Oversee security policies and regulatory compliance</w:t>
            </w:r>
          </w:p>
        </w:tc>
        <w:tc>
          <w:tcPr>
            <w:tcW w:w="0" w:type="auto"/>
            <w:vAlign w:val="center"/>
          </w:tcPr>
          <w:p w14:paraId="16CC89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security assessments, audit compliance</w:t>
            </w:r>
          </w:p>
        </w:tc>
        <w:tc>
          <w:tcPr>
            <w:tcW w:w="0" w:type="auto"/>
            <w:vAlign w:val="center"/>
          </w:tcPr>
          <w:p w14:paraId="3526D3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Officer, Compliance Officer, Legal</w:t>
            </w:r>
          </w:p>
        </w:tc>
        <w:tc>
          <w:tcPr>
            <w:tcW w:w="0" w:type="auto"/>
            <w:vAlign w:val="center"/>
          </w:tcPr>
          <w:p w14:paraId="2CDA6A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</w:tr>
    </w:tbl>
    <w:p w14:paraId="2ECF7E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Roles Definition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1"/>
        <w:gridCol w:w="3303"/>
        <w:gridCol w:w="2061"/>
        <w:gridCol w:w="2125"/>
      </w:tblGrid>
      <w:tr w14:paraId="334A7D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C95F68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60A1259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Responsibilities</w:t>
            </w:r>
          </w:p>
        </w:tc>
        <w:tc>
          <w:tcPr>
            <w:tcW w:w="0" w:type="auto"/>
            <w:vAlign w:val="center"/>
          </w:tcPr>
          <w:p w14:paraId="632AEFC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Authority Level</w:t>
            </w:r>
          </w:p>
        </w:tc>
        <w:tc>
          <w:tcPr>
            <w:tcW w:w="0" w:type="auto"/>
            <w:vAlign w:val="center"/>
          </w:tcPr>
          <w:p w14:paraId="14F3C9B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Reporting Lines</w:t>
            </w:r>
          </w:p>
        </w:tc>
      </w:tr>
      <w:tr w14:paraId="4C8376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29B1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Executive Sponsor</w:t>
            </w:r>
          </w:p>
        </w:tc>
        <w:tc>
          <w:tcPr>
            <w:tcW w:w="0" w:type="auto"/>
            <w:vAlign w:val="center"/>
          </w:tcPr>
          <w:p w14:paraId="6CD205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 project funding and strategic guidance; resolve escalated issues</w:t>
            </w:r>
          </w:p>
        </w:tc>
        <w:tc>
          <w:tcPr>
            <w:tcW w:w="0" w:type="auto"/>
            <w:vAlign w:val="center"/>
          </w:tcPr>
          <w:p w14:paraId="6D6964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Highest decision authority</w:t>
            </w:r>
          </w:p>
        </w:tc>
        <w:tc>
          <w:tcPr>
            <w:tcW w:w="0" w:type="auto"/>
            <w:vAlign w:val="center"/>
          </w:tcPr>
          <w:p w14:paraId="423CE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 to Board / CEO</w:t>
            </w:r>
          </w:p>
        </w:tc>
      </w:tr>
      <w:tr w14:paraId="4235DD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5E19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Manager (PM)</w:t>
            </w:r>
          </w:p>
        </w:tc>
        <w:tc>
          <w:tcPr>
            <w:tcW w:w="0" w:type="auto"/>
            <w:vAlign w:val="center"/>
          </w:tcPr>
          <w:p w14:paraId="3397A3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Lead project planning, execution, monitoring, and closure; coordinate stakeholders</w:t>
            </w:r>
          </w:p>
        </w:tc>
        <w:tc>
          <w:tcPr>
            <w:tcW w:w="0" w:type="auto"/>
            <w:vAlign w:val="center"/>
          </w:tcPr>
          <w:p w14:paraId="25DADC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Day-to-day project authority</w:t>
            </w:r>
          </w:p>
        </w:tc>
        <w:tc>
          <w:tcPr>
            <w:tcW w:w="0" w:type="auto"/>
            <w:vAlign w:val="center"/>
          </w:tcPr>
          <w:p w14:paraId="7F437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 to Steering Committee</w:t>
            </w:r>
          </w:p>
        </w:tc>
      </w:tr>
      <w:tr w14:paraId="6D0B08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5E55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Solution Architect</w:t>
            </w:r>
          </w:p>
        </w:tc>
        <w:tc>
          <w:tcPr>
            <w:tcW w:w="0" w:type="auto"/>
            <w:vAlign w:val="center"/>
          </w:tcPr>
          <w:p w14:paraId="274FC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overall ERP integration architecture; ensure scalability and compliance</w:t>
            </w:r>
          </w:p>
        </w:tc>
        <w:tc>
          <w:tcPr>
            <w:tcW w:w="0" w:type="auto"/>
            <w:vAlign w:val="center"/>
          </w:tcPr>
          <w:p w14:paraId="57F275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decision authority</w:t>
            </w:r>
          </w:p>
        </w:tc>
        <w:tc>
          <w:tcPr>
            <w:tcW w:w="0" w:type="auto"/>
            <w:vAlign w:val="center"/>
          </w:tcPr>
          <w:p w14:paraId="59D2E9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 to Technical Advisory Board</w:t>
            </w:r>
          </w:p>
        </w:tc>
      </w:tr>
      <w:tr w14:paraId="67674E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8F7C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Business Analyst</w:t>
            </w:r>
          </w:p>
        </w:tc>
        <w:tc>
          <w:tcPr>
            <w:tcW w:w="0" w:type="auto"/>
            <w:vAlign w:val="center"/>
          </w:tcPr>
          <w:p w14:paraId="6B636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Gather and validate requirements; liaise between business and IT teams</w:t>
            </w:r>
          </w:p>
        </w:tc>
        <w:tc>
          <w:tcPr>
            <w:tcW w:w="0" w:type="auto"/>
            <w:vAlign w:val="center"/>
          </w:tcPr>
          <w:p w14:paraId="260932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Influence on scope definition</w:t>
            </w:r>
          </w:p>
        </w:tc>
        <w:tc>
          <w:tcPr>
            <w:tcW w:w="0" w:type="auto"/>
            <w:vAlign w:val="center"/>
          </w:tcPr>
          <w:p w14:paraId="3FC6AA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 to PM</w:t>
            </w:r>
          </w:p>
        </w:tc>
      </w:tr>
      <w:tr w14:paraId="762580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294C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Development Lead</w:t>
            </w:r>
          </w:p>
        </w:tc>
        <w:tc>
          <w:tcPr>
            <w:tcW w:w="0" w:type="auto"/>
            <w:vAlign w:val="center"/>
          </w:tcPr>
          <w:p w14:paraId="1EB7E9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Oversee Odoo customization, integration development, and code quality</w:t>
            </w:r>
          </w:p>
        </w:tc>
        <w:tc>
          <w:tcPr>
            <w:tcW w:w="0" w:type="auto"/>
            <w:vAlign w:val="center"/>
          </w:tcPr>
          <w:p w14:paraId="7C7028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implementation authority</w:t>
            </w:r>
          </w:p>
        </w:tc>
        <w:tc>
          <w:tcPr>
            <w:tcW w:w="0" w:type="auto"/>
            <w:vAlign w:val="center"/>
          </w:tcPr>
          <w:p w14:paraId="01D27D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 to Solution Architect</w:t>
            </w:r>
          </w:p>
        </w:tc>
      </w:tr>
      <w:tr w14:paraId="6B43C3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B30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QA Manager</w:t>
            </w:r>
          </w:p>
        </w:tc>
        <w:tc>
          <w:tcPr>
            <w:tcW w:w="0" w:type="auto"/>
            <w:vAlign w:val="center"/>
          </w:tcPr>
          <w:p w14:paraId="0A49FC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 and manage test strategies; ensure quality assurance</w:t>
            </w:r>
          </w:p>
        </w:tc>
        <w:tc>
          <w:tcPr>
            <w:tcW w:w="0" w:type="auto"/>
            <w:vAlign w:val="center"/>
          </w:tcPr>
          <w:p w14:paraId="3001AF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Quality approval authority</w:t>
            </w:r>
          </w:p>
        </w:tc>
        <w:tc>
          <w:tcPr>
            <w:tcW w:w="0" w:type="auto"/>
            <w:vAlign w:val="center"/>
          </w:tcPr>
          <w:p w14:paraId="6FF14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 to PM</w:t>
            </w:r>
          </w:p>
        </w:tc>
      </w:tr>
      <w:tr w14:paraId="32759F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2426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Change Manager</w:t>
            </w:r>
          </w:p>
        </w:tc>
        <w:tc>
          <w:tcPr>
            <w:tcW w:w="0" w:type="auto"/>
            <w:vAlign w:val="center"/>
          </w:tcPr>
          <w:p w14:paraId="276D4C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 change requests, impact assessments, and communication</w:t>
            </w:r>
          </w:p>
        </w:tc>
        <w:tc>
          <w:tcPr>
            <w:tcW w:w="0" w:type="auto"/>
            <w:vAlign w:val="center"/>
          </w:tcPr>
          <w:p w14:paraId="2BB428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Control over scope changes</w:t>
            </w:r>
          </w:p>
        </w:tc>
        <w:tc>
          <w:tcPr>
            <w:tcW w:w="0" w:type="auto"/>
            <w:vAlign w:val="center"/>
          </w:tcPr>
          <w:p w14:paraId="0F2F43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 to CCB</w:t>
            </w:r>
          </w:p>
        </w:tc>
      </w:tr>
      <w:tr w14:paraId="4F0793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6B1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Security Officer</w:t>
            </w:r>
          </w:p>
        </w:tc>
        <w:tc>
          <w:tcPr>
            <w:tcW w:w="0" w:type="auto"/>
            <w:vAlign w:val="center"/>
          </w:tcPr>
          <w:p w14:paraId="2B34EF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 security risks; enforce security policies and compliance</w:t>
            </w:r>
          </w:p>
        </w:tc>
        <w:tc>
          <w:tcPr>
            <w:tcW w:w="0" w:type="auto"/>
            <w:vAlign w:val="center"/>
          </w:tcPr>
          <w:p w14:paraId="0AA2C9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policy enforcement</w:t>
            </w:r>
          </w:p>
        </w:tc>
        <w:tc>
          <w:tcPr>
            <w:tcW w:w="0" w:type="auto"/>
            <w:vAlign w:val="center"/>
          </w:tcPr>
          <w:p w14:paraId="68DA21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 to Security and Compliance Committee</w:t>
            </w:r>
          </w:p>
        </w:tc>
      </w:tr>
      <w:tr w14:paraId="3A9C87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B04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Migration Lead</w:t>
            </w:r>
          </w:p>
        </w:tc>
        <w:tc>
          <w:tcPr>
            <w:tcW w:w="0" w:type="auto"/>
            <w:vAlign w:val="center"/>
          </w:tcPr>
          <w:p w14:paraId="55E22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 and execute data migration activities; validate data integrity</w:t>
            </w:r>
          </w:p>
        </w:tc>
        <w:tc>
          <w:tcPr>
            <w:tcW w:w="0" w:type="auto"/>
            <w:vAlign w:val="center"/>
          </w:tcPr>
          <w:p w14:paraId="1974D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Operational authority on migration</w:t>
            </w:r>
          </w:p>
        </w:tc>
        <w:tc>
          <w:tcPr>
            <w:tcW w:w="0" w:type="auto"/>
            <w:vAlign w:val="center"/>
          </w:tcPr>
          <w:p w14:paraId="1884B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 to PM</w:t>
            </w:r>
          </w:p>
        </w:tc>
      </w:tr>
      <w:tr w14:paraId="432E7E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FF5B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Training Coordinator</w:t>
            </w:r>
          </w:p>
        </w:tc>
        <w:tc>
          <w:tcPr>
            <w:tcW w:w="0" w:type="auto"/>
            <w:vAlign w:val="center"/>
          </w:tcPr>
          <w:p w14:paraId="36AC7F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 training programs; coordinate user training sessions</w:t>
            </w:r>
          </w:p>
        </w:tc>
        <w:tc>
          <w:tcPr>
            <w:tcW w:w="0" w:type="auto"/>
            <w:vAlign w:val="center"/>
          </w:tcPr>
          <w:p w14:paraId="3E6354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Responsibility for user readiness</w:t>
            </w:r>
          </w:p>
        </w:tc>
        <w:tc>
          <w:tcPr>
            <w:tcW w:w="0" w:type="auto"/>
            <w:vAlign w:val="center"/>
          </w:tcPr>
          <w:p w14:paraId="2B1B1D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 to PM</w:t>
            </w:r>
          </w:p>
        </w:tc>
      </w:tr>
      <w:tr w14:paraId="00F7B98A">
        <w:trPr>
          <w:tblCellSpacing w:w="15" w:type="dxa"/>
        </w:trPr>
        <w:tc>
          <w:tcPr>
            <w:tcW w:w="0" w:type="auto"/>
            <w:vAlign w:val="center"/>
          </w:tcPr>
          <w:p w14:paraId="39C4D9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Vendor Manager</w:t>
            </w:r>
          </w:p>
        </w:tc>
        <w:tc>
          <w:tcPr>
            <w:tcW w:w="0" w:type="auto"/>
            <w:vAlign w:val="center"/>
          </w:tcPr>
          <w:p w14:paraId="0E304D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 contracts, SLAs, and vendor relationships</w:t>
            </w:r>
          </w:p>
        </w:tc>
        <w:tc>
          <w:tcPr>
            <w:tcW w:w="0" w:type="auto"/>
            <w:vAlign w:val="center"/>
          </w:tcPr>
          <w:p w14:paraId="1115BF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Contract negotiation authority</w:t>
            </w:r>
          </w:p>
        </w:tc>
        <w:tc>
          <w:tcPr>
            <w:tcW w:w="0" w:type="auto"/>
            <w:vAlign w:val="center"/>
          </w:tcPr>
          <w:p w14:paraId="595BD1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 to PM</w:t>
            </w:r>
          </w:p>
        </w:tc>
      </w:tr>
      <w:tr w14:paraId="4FD612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5524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End User Representatives</w:t>
            </w:r>
          </w:p>
        </w:tc>
        <w:tc>
          <w:tcPr>
            <w:tcW w:w="0" w:type="auto"/>
            <w:vAlign w:val="center"/>
          </w:tcPr>
          <w:p w14:paraId="30510A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 user feedback; assist in UAT and adoption activities</w:t>
            </w:r>
          </w:p>
        </w:tc>
        <w:tc>
          <w:tcPr>
            <w:tcW w:w="0" w:type="auto"/>
            <w:vAlign w:val="center"/>
          </w:tcPr>
          <w:p w14:paraId="3C504C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on usability and requirements</w:t>
            </w:r>
          </w:p>
        </w:tc>
        <w:tc>
          <w:tcPr>
            <w:tcW w:w="0" w:type="auto"/>
            <w:vAlign w:val="center"/>
          </w:tcPr>
          <w:p w14:paraId="61203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 to Business Advisory Group</w:t>
            </w:r>
          </w:p>
        </w:tc>
      </w:tr>
    </w:tbl>
    <w:p w14:paraId="1469001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Governance Processes</w:t>
      </w:r>
    </w:p>
    <w:p w14:paraId="1461897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Steering Committee Meetings:</w:t>
      </w:r>
      <w:r>
        <w:rPr>
          <w:rFonts w:ascii="Times New Roman" w:hAnsi="Times New Roman" w:cs="Times New Roman"/>
        </w:rPr>
        <w:t xml:space="preserve"> Approve key milestones, budgets, and escalated issues.</w:t>
      </w:r>
    </w:p>
    <w:p w14:paraId="344EBB3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Change Control Board:</w:t>
      </w:r>
      <w:r>
        <w:rPr>
          <w:rFonts w:ascii="Times New Roman" w:hAnsi="Times New Roman" w:cs="Times New Roman"/>
        </w:rPr>
        <w:t xml:space="preserve"> Review and approve scope, schedule, or budget changes.</w:t>
      </w:r>
    </w:p>
    <w:p w14:paraId="6015253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Risk Management:</w:t>
      </w:r>
      <w:r>
        <w:rPr>
          <w:rFonts w:ascii="Times New Roman" w:hAnsi="Times New Roman" w:cs="Times New Roman"/>
        </w:rPr>
        <w:t xml:space="preserve"> Ongoing risk identification and mitigation reviews in PMO meetings.</w:t>
      </w:r>
    </w:p>
    <w:p w14:paraId="421C3FB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Quality Assurance:</w:t>
      </w:r>
      <w:r>
        <w:rPr>
          <w:rFonts w:ascii="Times New Roman" w:hAnsi="Times New Roman" w:cs="Times New Roman"/>
        </w:rPr>
        <w:t xml:space="preserve"> Periodic audits and testing reviews to ensure deliverable quality.</w:t>
      </w:r>
    </w:p>
    <w:p w14:paraId="0CE2A27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Stakeholder Communication:</w:t>
      </w:r>
      <w:r>
        <w:rPr>
          <w:rFonts w:ascii="Times New Roman" w:hAnsi="Times New Roman" w:cs="Times New Roman"/>
        </w:rPr>
        <w:t xml:space="preserve"> Regular updates via reports, dashboards, and meetings tailored by stakeholder group.</w:t>
      </w:r>
    </w:p>
    <w:p w14:paraId="2BAC2BB7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B5540"/>
    <w:multiLevelType w:val="multilevel"/>
    <w:tmpl w:val="3EFB55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EE5"/>
    <w:rsid w:val="00054EE5"/>
    <w:rsid w:val="00180A00"/>
    <w:rsid w:val="0028578E"/>
    <w:rsid w:val="00A35684"/>
    <w:rsid w:val="00D22FF6"/>
    <w:rsid w:val="00DE38F6"/>
    <w:rsid w:val="13A9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559</Words>
  <Characters>3191</Characters>
  <Lines>26</Lines>
  <Paragraphs>7</Paragraphs>
  <TotalTime>1</TotalTime>
  <ScaleCrop>false</ScaleCrop>
  <LinksUpToDate>false</LinksUpToDate>
  <CharactersWithSpaces>3743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2025-07-28T15:11:00Z</dcterms:created>
  <dc:creator>168236-Barbara Malei</dc:creator>
  <cp:lastModifiedBy>ADMIN</cp:lastModifiedBy>
  <dcterms:modified xsi:type="dcterms:W3CDTF">2025-11-09T12:21:43Z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817E0C07485549AFA3D10730AB366E01_12</vt:lpwstr>
  </property>
</Properties>
</file>