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90BD8">
      <w:pPr>
        <w:rPr>
          <w:rFonts w:ascii="Times New Roman" w:hAnsi="Times New Roman" w:cs="Times New Roman"/>
        </w:rPr>
      </w:pPr>
    </w:p>
    <w:p w14:paraId="408F8231">
      <w:pPr>
        <w:rPr>
          <w:rFonts w:ascii="Times New Roman" w:hAnsi="Times New Roman" w:cs="Times New Roman"/>
          <w:b/>
          <w:bCs/>
        </w:rPr>
      </w:pPr>
      <w:r>
        <w:rPr>
          <w:rFonts w:ascii="Times New Roman" w:hAnsi="Times New Roman" w:cs="Times New Roman"/>
          <w:b/>
          <w:bCs/>
        </w:rPr>
        <w:t xml:space="preserve"> Formal Project Closure Report with KPI Performance Summary</w:t>
      </w:r>
    </w:p>
    <w:p w14:paraId="43E830F1">
      <w:pPr>
        <w:rPr>
          <w:rFonts w:ascii="Times New Roman" w:hAnsi="Times New Roman" w:cs="Times New Roman"/>
        </w:rPr>
      </w:pPr>
      <w:bookmarkStart w:id="0" w:name="_GoBack"/>
      <w:bookmarkEnd w:id="0"/>
      <w:r>
        <w:rPr>
          <w:rFonts w:ascii="Times New Roman" w:hAnsi="Times New Roman" w:cs="Times New Roman"/>
        </w:rPr>
        <w:t>Odoo ERP Implementation (CRM, Finance, Inventory, Billing)</w:t>
      </w:r>
    </w:p>
    <w:p w14:paraId="68AC9E65">
      <w:pPr>
        <w:rPr>
          <w:rFonts w:ascii="Times New Roman" w:hAnsi="Times New Roman" w:cs="Times New Roman"/>
        </w:rPr>
      </w:pPr>
      <w:r>
        <w:rPr>
          <w:rFonts w:ascii="Times New Roman" w:hAnsi="Times New Roman" w:cs="Times New Roman"/>
        </w:rPr>
        <w:t xml:space="preserve"> Odoo ERP Integration </w:t>
      </w:r>
    </w:p>
    <w:p w14:paraId="205F9129">
      <w:pPr>
        <w:rPr>
          <w:rFonts w:hint="default" w:ascii="Times New Roman" w:hAnsi="Times New Roman" w:cs="Times New Roman"/>
          <w:lang w:val="en-US"/>
        </w:rPr>
      </w:pPr>
      <w:r>
        <w:rPr>
          <w:rFonts w:hint="default" w:ascii="Times New Roman" w:hAnsi="Times New Roman" w:cs="Times New Roman"/>
          <w:lang w:val="en-US"/>
        </w:rPr>
        <w:t>Jan-April 2025</w:t>
      </w:r>
    </w:p>
    <w:p w14:paraId="28F15AAE">
      <w:pPr>
        <w:rPr>
          <w:rFonts w:ascii="Times New Roman" w:hAnsi="Times New Roman" w:cs="Times New Roman"/>
          <w:b/>
          <w:bCs/>
        </w:rPr>
      </w:pPr>
      <w:r>
        <w:rPr>
          <w:rFonts w:ascii="Times New Roman" w:hAnsi="Times New Roman" w:cs="Times New Roman"/>
          <w:b/>
          <w:bCs/>
        </w:rPr>
        <w:t>Executive Summary</w:t>
      </w:r>
    </w:p>
    <w:p w14:paraId="7477079C">
      <w:pPr>
        <w:rPr>
          <w:rFonts w:ascii="Times New Roman" w:hAnsi="Times New Roman" w:cs="Times New Roman"/>
        </w:rPr>
      </w:pPr>
      <w:r>
        <w:rPr>
          <w:rFonts w:ascii="Times New Roman" w:hAnsi="Times New Roman" w:cs="Times New Roman"/>
        </w:rPr>
        <w:t>The Odoo ERP implementation at Atelco Net has been successfully completed within the planned timeline and budget. All modules were tested, deployed, and transitioned to operations. This closure report summarizes project KPIs, outcomes, and stakeholder sign-off.</w:t>
      </w:r>
    </w:p>
    <w:p w14:paraId="16F29FCF">
      <w:pPr>
        <w:rPr>
          <w:rFonts w:ascii="Times New Roman" w:hAnsi="Times New Roman" w:cs="Times New Roman"/>
          <w:b/>
          <w:bCs/>
        </w:rPr>
      </w:pPr>
      <w:r>
        <w:rPr>
          <w:rFonts w:ascii="Times New Roman" w:hAnsi="Times New Roman" w:cs="Times New Roman"/>
          <w:b/>
          <w:bCs/>
        </w:rPr>
        <w:t>Key Performance Indicators (KPIs)</w:t>
      </w:r>
    </w:p>
    <w:tbl>
      <w:tblPr>
        <w:tblStyle w:val="12"/>
        <w:tblW w:w="0" w:type="auto"/>
        <w:tblCellSpacing w:w="15" w:type="dxa"/>
        <w:tblInd w:w="0" w:type="dxa"/>
        <w:tblLayout w:type="autofit"/>
        <w:tblCellMar>
          <w:top w:w="15" w:type="dxa"/>
          <w:left w:w="15" w:type="dxa"/>
          <w:bottom w:w="15" w:type="dxa"/>
          <w:right w:w="15" w:type="dxa"/>
        </w:tblCellMar>
      </w:tblPr>
      <w:tblGrid>
        <w:gridCol w:w="4288"/>
        <w:gridCol w:w="974"/>
        <w:gridCol w:w="1154"/>
        <w:gridCol w:w="852"/>
      </w:tblGrid>
      <w:tr w14:paraId="6A8FD894">
        <w:tblPrEx>
          <w:tblCellMar>
            <w:top w:w="15" w:type="dxa"/>
            <w:left w:w="15" w:type="dxa"/>
            <w:bottom w:w="15" w:type="dxa"/>
            <w:right w:w="15" w:type="dxa"/>
          </w:tblCellMar>
        </w:tblPrEx>
        <w:trPr>
          <w:tblHeader/>
          <w:tblCellSpacing w:w="15" w:type="dxa"/>
        </w:trPr>
        <w:tc>
          <w:tcPr>
            <w:tcW w:w="0" w:type="auto"/>
            <w:vAlign w:val="center"/>
          </w:tcPr>
          <w:p w14:paraId="4F3EE37F">
            <w:pPr>
              <w:rPr>
                <w:rFonts w:ascii="Times New Roman" w:hAnsi="Times New Roman" w:cs="Times New Roman"/>
                <w:b/>
                <w:bCs/>
              </w:rPr>
            </w:pPr>
            <w:r>
              <w:rPr>
                <w:rFonts w:ascii="Times New Roman" w:hAnsi="Times New Roman" w:cs="Times New Roman"/>
                <w:b/>
                <w:bCs/>
              </w:rPr>
              <w:t>KPI</w:t>
            </w:r>
          </w:p>
        </w:tc>
        <w:tc>
          <w:tcPr>
            <w:tcW w:w="0" w:type="auto"/>
            <w:vAlign w:val="center"/>
          </w:tcPr>
          <w:p w14:paraId="7D2025DF">
            <w:pPr>
              <w:rPr>
                <w:rFonts w:ascii="Times New Roman" w:hAnsi="Times New Roman" w:cs="Times New Roman"/>
                <w:b/>
                <w:bCs/>
              </w:rPr>
            </w:pPr>
            <w:r>
              <w:rPr>
                <w:rFonts w:ascii="Times New Roman" w:hAnsi="Times New Roman" w:cs="Times New Roman"/>
                <w:b/>
                <w:bCs/>
              </w:rPr>
              <w:t>Target</w:t>
            </w:r>
          </w:p>
        </w:tc>
        <w:tc>
          <w:tcPr>
            <w:tcW w:w="0" w:type="auto"/>
            <w:vAlign w:val="center"/>
          </w:tcPr>
          <w:p w14:paraId="78E265C5">
            <w:pPr>
              <w:rPr>
                <w:rFonts w:ascii="Times New Roman" w:hAnsi="Times New Roman" w:cs="Times New Roman"/>
                <w:b/>
                <w:bCs/>
              </w:rPr>
            </w:pPr>
            <w:r>
              <w:rPr>
                <w:rFonts w:ascii="Times New Roman" w:hAnsi="Times New Roman" w:cs="Times New Roman"/>
                <w:b/>
                <w:bCs/>
              </w:rPr>
              <w:t>Achieved</w:t>
            </w:r>
          </w:p>
        </w:tc>
        <w:tc>
          <w:tcPr>
            <w:tcW w:w="0" w:type="auto"/>
            <w:vAlign w:val="center"/>
          </w:tcPr>
          <w:p w14:paraId="19D3044B">
            <w:pPr>
              <w:rPr>
                <w:rFonts w:ascii="Times New Roman" w:hAnsi="Times New Roman" w:cs="Times New Roman"/>
                <w:b/>
                <w:bCs/>
              </w:rPr>
            </w:pPr>
            <w:r>
              <w:rPr>
                <w:rFonts w:ascii="Times New Roman" w:hAnsi="Times New Roman" w:cs="Times New Roman"/>
                <w:b/>
                <w:bCs/>
              </w:rPr>
              <w:t>Status</w:t>
            </w:r>
          </w:p>
        </w:tc>
      </w:tr>
      <w:tr w14:paraId="7B58C022">
        <w:tblPrEx>
          <w:tblCellMar>
            <w:top w:w="15" w:type="dxa"/>
            <w:left w:w="15" w:type="dxa"/>
            <w:bottom w:w="15" w:type="dxa"/>
            <w:right w:w="15" w:type="dxa"/>
          </w:tblCellMar>
        </w:tblPrEx>
        <w:trPr>
          <w:tblCellSpacing w:w="15" w:type="dxa"/>
        </w:trPr>
        <w:tc>
          <w:tcPr>
            <w:tcW w:w="0" w:type="auto"/>
            <w:vAlign w:val="center"/>
          </w:tcPr>
          <w:p w14:paraId="198AEBE7">
            <w:pPr>
              <w:rPr>
                <w:rFonts w:ascii="Times New Roman" w:hAnsi="Times New Roman" w:cs="Times New Roman"/>
              </w:rPr>
            </w:pPr>
            <w:r>
              <w:rPr>
                <w:rFonts w:ascii="Times New Roman" w:hAnsi="Times New Roman" w:cs="Times New Roman"/>
              </w:rPr>
              <w:t>Project Completion Time</w:t>
            </w:r>
          </w:p>
        </w:tc>
        <w:tc>
          <w:tcPr>
            <w:tcW w:w="0" w:type="auto"/>
            <w:vAlign w:val="center"/>
          </w:tcPr>
          <w:p w14:paraId="7B790447">
            <w:pPr>
              <w:rPr>
                <w:rFonts w:ascii="Times New Roman" w:hAnsi="Times New Roman" w:cs="Times New Roman"/>
              </w:rPr>
            </w:pPr>
            <w:r>
              <w:rPr>
                <w:rFonts w:ascii="Times New Roman" w:hAnsi="Times New Roman" w:cs="Times New Roman"/>
              </w:rPr>
              <w:t>6 Months</w:t>
            </w:r>
          </w:p>
        </w:tc>
        <w:tc>
          <w:tcPr>
            <w:tcW w:w="0" w:type="auto"/>
            <w:vAlign w:val="center"/>
          </w:tcPr>
          <w:p w14:paraId="6876633C">
            <w:pPr>
              <w:rPr>
                <w:rFonts w:ascii="Times New Roman" w:hAnsi="Times New Roman" w:cs="Times New Roman"/>
              </w:rPr>
            </w:pPr>
            <w:r>
              <w:rPr>
                <w:rFonts w:ascii="Times New Roman" w:hAnsi="Times New Roman" w:cs="Times New Roman"/>
              </w:rPr>
              <w:t>5.5 Months</w:t>
            </w:r>
          </w:p>
        </w:tc>
        <w:tc>
          <w:tcPr>
            <w:tcW w:w="0" w:type="auto"/>
            <w:vAlign w:val="center"/>
          </w:tcPr>
          <w:p w14:paraId="64FBA9DA">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Met</w:t>
            </w:r>
          </w:p>
        </w:tc>
      </w:tr>
      <w:tr w14:paraId="388AB3D8">
        <w:tblPrEx>
          <w:tblCellMar>
            <w:top w:w="15" w:type="dxa"/>
            <w:left w:w="15" w:type="dxa"/>
            <w:bottom w:w="15" w:type="dxa"/>
            <w:right w:w="15" w:type="dxa"/>
          </w:tblCellMar>
        </w:tblPrEx>
        <w:trPr>
          <w:tblCellSpacing w:w="15" w:type="dxa"/>
        </w:trPr>
        <w:tc>
          <w:tcPr>
            <w:tcW w:w="0" w:type="auto"/>
            <w:vAlign w:val="center"/>
          </w:tcPr>
          <w:p w14:paraId="225164F6">
            <w:pPr>
              <w:rPr>
                <w:rFonts w:ascii="Times New Roman" w:hAnsi="Times New Roman" w:cs="Times New Roman"/>
              </w:rPr>
            </w:pPr>
            <w:r>
              <w:rPr>
                <w:rFonts w:ascii="Times New Roman" w:hAnsi="Times New Roman" w:cs="Times New Roman"/>
              </w:rPr>
              <w:t>Budget Adherence</w:t>
            </w:r>
          </w:p>
        </w:tc>
        <w:tc>
          <w:tcPr>
            <w:tcW w:w="0" w:type="auto"/>
            <w:vAlign w:val="center"/>
          </w:tcPr>
          <w:p w14:paraId="6F3F724D">
            <w:pPr>
              <w:rPr>
                <w:rFonts w:ascii="Times New Roman" w:hAnsi="Times New Roman" w:cs="Times New Roman"/>
              </w:rPr>
            </w:pPr>
            <w:r>
              <w:rPr>
                <w:rFonts w:ascii="Times New Roman" w:hAnsi="Times New Roman" w:cs="Times New Roman"/>
              </w:rPr>
              <w:t>±5%</w:t>
            </w:r>
          </w:p>
        </w:tc>
        <w:tc>
          <w:tcPr>
            <w:tcW w:w="0" w:type="auto"/>
            <w:vAlign w:val="center"/>
          </w:tcPr>
          <w:p w14:paraId="2BD5F92B">
            <w:pPr>
              <w:rPr>
                <w:rFonts w:ascii="Times New Roman" w:hAnsi="Times New Roman" w:cs="Times New Roman"/>
              </w:rPr>
            </w:pPr>
            <w:r>
              <w:rPr>
                <w:rFonts w:ascii="Times New Roman" w:hAnsi="Times New Roman" w:cs="Times New Roman"/>
              </w:rPr>
              <w:t>+2.7%</w:t>
            </w:r>
          </w:p>
        </w:tc>
        <w:tc>
          <w:tcPr>
            <w:tcW w:w="0" w:type="auto"/>
            <w:vAlign w:val="center"/>
          </w:tcPr>
          <w:p w14:paraId="4DC6E851">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Met</w:t>
            </w:r>
          </w:p>
        </w:tc>
      </w:tr>
      <w:tr w14:paraId="46E8E76B">
        <w:tblPrEx>
          <w:tblCellMar>
            <w:top w:w="15" w:type="dxa"/>
            <w:left w:w="15" w:type="dxa"/>
            <w:bottom w:w="15" w:type="dxa"/>
            <w:right w:w="15" w:type="dxa"/>
          </w:tblCellMar>
        </w:tblPrEx>
        <w:trPr>
          <w:tblCellSpacing w:w="15" w:type="dxa"/>
        </w:trPr>
        <w:tc>
          <w:tcPr>
            <w:tcW w:w="0" w:type="auto"/>
            <w:vAlign w:val="center"/>
          </w:tcPr>
          <w:p w14:paraId="27E951D5">
            <w:pPr>
              <w:rPr>
                <w:rFonts w:ascii="Times New Roman" w:hAnsi="Times New Roman" w:cs="Times New Roman"/>
              </w:rPr>
            </w:pPr>
            <w:r>
              <w:rPr>
                <w:rFonts w:ascii="Times New Roman" w:hAnsi="Times New Roman" w:cs="Times New Roman"/>
              </w:rPr>
              <w:t>System Uptime (UAT &amp; Go-Live)</w:t>
            </w:r>
          </w:p>
        </w:tc>
        <w:tc>
          <w:tcPr>
            <w:tcW w:w="0" w:type="auto"/>
            <w:vAlign w:val="center"/>
          </w:tcPr>
          <w:p w14:paraId="48073AA0">
            <w:pPr>
              <w:rPr>
                <w:rFonts w:ascii="Times New Roman" w:hAnsi="Times New Roman" w:cs="Times New Roman"/>
              </w:rPr>
            </w:pPr>
            <w:r>
              <w:rPr>
                <w:rFonts w:ascii="Times New Roman" w:hAnsi="Times New Roman" w:cs="Times New Roman"/>
              </w:rPr>
              <w:t>≥ 99.5%</w:t>
            </w:r>
          </w:p>
        </w:tc>
        <w:tc>
          <w:tcPr>
            <w:tcW w:w="0" w:type="auto"/>
            <w:vAlign w:val="center"/>
          </w:tcPr>
          <w:p w14:paraId="454B6137">
            <w:pPr>
              <w:rPr>
                <w:rFonts w:ascii="Times New Roman" w:hAnsi="Times New Roman" w:cs="Times New Roman"/>
              </w:rPr>
            </w:pPr>
            <w:r>
              <w:rPr>
                <w:rFonts w:ascii="Times New Roman" w:hAnsi="Times New Roman" w:cs="Times New Roman"/>
              </w:rPr>
              <w:t>99.9%</w:t>
            </w:r>
          </w:p>
        </w:tc>
        <w:tc>
          <w:tcPr>
            <w:tcW w:w="0" w:type="auto"/>
            <w:vAlign w:val="center"/>
          </w:tcPr>
          <w:p w14:paraId="14931A69">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Met</w:t>
            </w:r>
          </w:p>
        </w:tc>
      </w:tr>
      <w:tr w14:paraId="6F40A70F">
        <w:tblPrEx>
          <w:tblCellMar>
            <w:top w:w="15" w:type="dxa"/>
            <w:left w:w="15" w:type="dxa"/>
            <w:bottom w:w="15" w:type="dxa"/>
            <w:right w:w="15" w:type="dxa"/>
          </w:tblCellMar>
        </w:tblPrEx>
        <w:trPr>
          <w:tblCellSpacing w:w="15" w:type="dxa"/>
        </w:trPr>
        <w:tc>
          <w:tcPr>
            <w:tcW w:w="0" w:type="auto"/>
            <w:vAlign w:val="center"/>
          </w:tcPr>
          <w:p w14:paraId="5E31E835">
            <w:pPr>
              <w:rPr>
                <w:rFonts w:ascii="Times New Roman" w:hAnsi="Times New Roman" w:cs="Times New Roman"/>
              </w:rPr>
            </w:pPr>
            <w:r>
              <w:rPr>
                <w:rFonts w:ascii="Times New Roman" w:hAnsi="Times New Roman" w:cs="Times New Roman"/>
              </w:rPr>
              <w:t>Training Completion Rate</w:t>
            </w:r>
          </w:p>
        </w:tc>
        <w:tc>
          <w:tcPr>
            <w:tcW w:w="0" w:type="auto"/>
            <w:vAlign w:val="center"/>
          </w:tcPr>
          <w:p w14:paraId="254FFD08">
            <w:pPr>
              <w:rPr>
                <w:rFonts w:ascii="Times New Roman" w:hAnsi="Times New Roman" w:cs="Times New Roman"/>
              </w:rPr>
            </w:pPr>
            <w:r>
              <w:rPr>
                <w:rFonts w:ascii="Times New Roman" w:hAnsi="Times New Roman" w:cs="Times New Roman"/>
              </w:rPr>
              <w:t>≥ 95%</w:t>
            </w:r>
          </w:p>
        </w:tc>
        <w:tc>
          <w:tcPr>
            <w:tcW w:w="0" w:type="auto"/>
            <w:vAlign w:val="center"/>
          </w:tcPr>
          <w:p w14:paraId="16764CF1">
            <w:pPr>
              <w:rPr>
                <w:rFonts w:ascii="Times New Roman" w:hAnsi="Times New Roman" w:cs="Times New Roman"/>
              </w:rPr>
            </w:pPr>
            <w:r>
              <w:rPr>
                <w:rFonts w:ascii="Times New Roman" w:hAnsi="Times New Roman" w:cs="Times New Roman"/>
              </w:rPr>
              <w:t>98%</w:t>
            </w:r>
          </w:p>
        </w:tc>
        <w:tc>
          <w:tcPr>
            <w:tcW w:w="0" w:type="auto"/>
            <w:vAlign w:val="center"/>
          </w:tcPr>
          <w:p w14:paraId="6B5DE4EB">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Met</w:t>
            </w:r>
          </w:p>
        </w:tc>
      </w:tr>
      <w:tr w14:paraId="4CAD9E2D">
        <w:tblPrEx>
          <w:tblCellMar>
            <w:top w:w="15" w:type="dxa"/>
            <w:left w:w="15" w:type="dxa"/>
            <w:bottom w:w="15" w:type="dxa"/>
            <w:right w:w="15" w:type="dxa"/>
          </w:tblCellMar>
        </w:tblPrEx>
        <w:trPr>
          <w:tblCellSpacing w:w="15" w:type="dxa"/>
        </w:trPr>
        <w:tc>
          <w:tcPr>
            <w:tcW w:w="0" w:type="auto"/>
            <w:vAlign w:val="center"/>
          </w:tcPr>
          <w:p w14:paraId="3AF02D5B">
            <w:pPr>
              <w:rPr>
                <w:rFonts w:ascii="Times New Roman" w:hAnsi="Times New Roman" w:cs="Times New Roman"/>
              </w:rPr>
            </w:pPr>
            <w:r>
              <w:rPr>
                <w:rFonts w:ascii="Times New Roman" w:hAnsi="Times New Roman" w:cs="Times New Roman"/>
              </w:rPr>
              <w:t>Post-Go-Live Issue Resolution within SLA</w:t>
            </w:r>
          </w:p>
        </w:tc>
        <w:tc>
          <w:tcPr>
            <w:tcW w:w="0" w:type="auto"/>
            <w:vAlign w:val="center"/>
          </w:tcPr>
          <w:p w14:paraId="309891A1">
            <w:pPr>
              <w:rPr>
                <w:rFonts w:ascii="Times New Roman" w:hAnsi="Times New Roman" w:cs="Times New Roman"/>
              </w:rPr>
            </w:pPr>
            <w:r>
              <w:rPr>
                <w:rFonts w:ascii="Times New Roman" w:hAnsi="Times New Roman" w:cs="Times New Roman"/>
              </w:rPr>
              <w:t>≥ 90%</w:t>
            </w:r>
          </w:p>
        </w:tc>
        <w:tc>
          <w:tcPr>
            <w:tcW w:w="0" w:type="auto"/>
            <w:vAlign w:val="center"/>
          </w:tcPr>
          <w:p w14:paraId="5FE6E1E7">
            <w:pPr>
              <w:rPr>
                <w:rFonts w:ascii="Times New Roman" w:hAnsi="Times New Roman" w:cs="Times New Roman"/>
              </w:rPr>
            </w:pPr>
            <w:r>
              <w:rPr>
                <w:rFonts w:ascii="Times New Roman" w:hAnsi="Times New Roman" w:cs="Times New Roman"/>
              </w:rPr>
              <w:t>94%</w:t>
            </w:r>
          </w:p>
        </w:tc>
        <w:tc>
          <w:tcPr>
            <w:tcW w:w="0" w:type="auto"/>
            <w:vAlign w:val="center"/>
          </w:tcPr>
          <w:p w14:paraId="2F98E55E">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Met</w:t>
            </w:r>
          </w:p>
        </w:tc>
      </w:tr>
      <w:tr w14:paraId="090F4D0B">
        <w:tblPrEx>
          <w:tblCellMar>
            <w:top w:w="15" w:type="dxa"/>
            <w:left w:w="15" w:type="dxa"/>
            <w:bottom w:w="15" w:type="dxa"/>
            <w:right w:w="15" w:type="dxa"/>
          </w:tblCellMar>
        </w:tblPrEx>
        <w:trPr>
          <w:tblCellSpacing w:w="15" w:type="dxa"/>
        </w:trPr>
        <w:tc>
          <w:tcPr>
            <w:tcW w:w="0" w:type="auto"/>
            <w:vAlign w:val="center"/>
          </w:tcPr>
          <w:p w14:paraId="38DF363F">
            <w:pPr>
              <w:rPr>
                <w:rFonts w:ascii="Times New Roman" w:hAnsi="Times New Roman" w:cs="Times New Roman"/>
              </w:rPr>
            </w:pPr>
            <w:r>
              <w:rPr>
                <w:rFonts w:ascii="Times New Roman" w:hAnsi="Times New Roman" w:cs="Times New Roman"/>
              </w:rPr>
              <w:t>Automation Rate (Manual → Odoo)</w:t>
            </w:r>
          </w:p>
        </w:tc>
        <w:tc>
          <w:tcPr>
            <w:tcW w:w="0" w:type="auto"/>
            <w:vAlign w:val="center"/>
          </w:tcPr>
          <w:p w14:paraId="09C9099F">
            <w:pPr>
              <w:rPr>
                <w:rFonts w:ascii="Times New Roman" w:hAnsi="Times New Roman" w:cs="Times New Roman"/>
              </w:rPr>
            </w:pPr>
            <w:r>
              <w:rPr>
                <w:rFonts w:ascii="Times New Roman" w:hAnsi="Times New Roman" w:cs="Times New Roman"/>
              </w:rPr>
              <w:t>80%</w:t>
            </w:r>
          </w:p>
        </w:tc>
        <w:tc>
          <w:tcPr>
            <w:tcW w:w="0" w:type="auto"/>
            <w:vAlign w:val="center"/>
          </w:tcPr>
          <w:p w14:paraId="170EDFA5">
            <w:pPr>
              <w:rPr>
                <w:rFonts w:ascii="Times New Roman" w:hAnsi="Times New Roman" w:cs="Times New Roman"/>
              </w:rPr>
            </w:pPr>
            <w:r>
              <w:rPr>
                <w:rFonts w:ascii="Times New Roman" w:hAnsi="Times New Roman" w:cs="Times New Roman"/>
              </w:rPr>
              <w:t>85%</w:t>
            </w:r>
          </w:p>
        </w:tc>
        <w:tc>
          <w:tcPr>
            <w:tcW w:w="0" w:type="auto"/>
            <w:vAlign w:val="center"/>
          </w:tcPr>
          <w:p w14:paraId="5066E4AD">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Met</w:t>
            </w:r>
          </w:p>
        </w:tc>
      </w:tr>
      <w:tr w14:paraId="25AED448">
        <w:tblPrEx>
          <w:tblCellMar>
            <w:top w:w="15" w:type="dxa"/>
            <w:left w:w="15" w:type="dxa"/>
            <w:bottom w:w="15" w:type="dxa"/>
            <w:right w:w="15" w:type="dxa"/>
          </w:tblCellMar>
        </w:tblPrEx>
        <w:trPr>
          <w:tblCellSpacing w:w="15" w:type="dxa"/>
        </w:trPr>
        <w:tc>
          <w:tcPr>
            <w:tcW w:w="0" w:type="auto"/>
            <w:vAlign w:val="center"/>
          </w:tcPr>
          <w:p w14:paraId="6DF1C61B">
            <w:pPr>
              <w:rPr>
                <w:rFonts w:ascii="Times New Roman" w:hAnsi="Times New Roman" w:cs="Times New Roman"/>
              </w:rPr>
            </w:pPr>
            <w:r>
              <w:rPr>
                <w:rFonts w:ascii="Times New Roman" w:hAnsi="Times New Roman" w:cs="Times New Roman"/>
              </w:rPr>
              <w:t>User Adoption (Login Rate within 2 weeks)</w:t>
            </w:r>
          </w:p>
        </w:tc>
        <w:tc>
          <w:tcPr>
            <w:tcW w:w="0" w:type="auto"/>
            <w:vAlign w:val="center"/>
          </w:tcPr>
          <w:p w14:paraId="109C8746">
            <w:pPr>
              <w:rPr>
                <w:rFonts w:ascii="Times New Roman" w:hAnsi="Times New Roman" w:cs="Times New Roman"/>
              </w:rPr>
            </w:pPr>
            <w:r>
              <w:rPr>
                <w:rFonts w:ascii="Times New Roman" w:hAnsi="Times New Roman" w:cs="Times New Roman"/>
              </w:rPr>
              <w:t>≥ 90%</w:t>
            </w:r>
          </w:p>
        </w:tc>
        <w:tc>
          <w:tcPr>
            <w:tcW w:w="0" w:type="auto"/>
            <w:vAlign w:val="center"/>
          </w:tcPr>
          <w:p w14:paraId="21ED95A4">
            <w:pPr>
              <w:rPr>
                <w:rFonts w:ascii="Times New Roman" w:hAnsi="Times New Roman" w:cs="Times New Roman"/>
              </w:rPr>
            </w:pPr>
            <w:r>
              <w:rPr>
                <w:rFonts w:ascii="Times New Roman" w:hAnsi="Times New Roman" w:cs="Times New Roman"/>
              </w:rPr>
              <w:t>96%</w:t>
            </w:r>
          </w:p>
        </w:tc>
        <w:tc>
          <w:tcPr>
            <w:tcW w:w="0" w:type="auto"/>
            <w:vAlign w:val="center"/>
          </w:tcPr>
          <w:p w14:paraId="0FEFE953">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Met</w:t>
            </w:r>
          </w:p>
        </w:tc>
      </w:tr>
    </w:tbl>
    <w:p w14:paraId="315087F8">
      <w:pPr>
        <w:rPr>
          <w:rFonts w:ascii="Times New Roman" w:hAnsi="Times New Roman" w:cs="Times New Roman"/>
          <w:b/>
          <w:bCs/>
        </w:rPr>
      </w:pPr>
      <w:r>
        <w:rPr>
          <w:rFonts w:ascii="Times New Roman" w:hAnsi="Times New Roman" w:cs="Times New Roman"/>
          <w:b/>
          <w:bCs/>
        </w:rPr>
        <w:t>Project Milestones Summary</w:t>
      </w:r>
    </w:p>
    <w:p w14:paraId="756FCF33">
      <w:pPr>
        <w:numPr>
          <w:ilvl w:val="0"/>
          <w:numId w:val="1"/>
        </w:numPr>
        <w:rPr>
          <w:rFonts w:ascii="Times New Roman" w:hAnsi="Times New Roman" w:cs="Times New Roman"/>
        </w:rPr>
      </w:pPr>
      <w:r>
        <w:rPr>
          <w:rFonts w:ascii="Times New Roman" w:hAnsi="Times New Roman" w:cs="Times New Roman"/>
        </w:rPr>
        <w:t xml:space="preserve">Requirements Finalization: </w:t>
      </w:r>
      <w:r>
        <w:rPr>
          <w:rFonts w:ascii="Segoe UI Emoji" w:hAnsi="Segoe UI Emoji" w:cs="Segoe UI Emoji"/>
        </w:rPr>
        <w:t>✔️</w:t>
      </w:r>
      <w:r>
        <w:rPr>
          <w:rFonts w:ascii="Times New Roman" w:hAnsi="Times New Roman" w:cs="Times New Roman"/>
        </w:rPr>
        <w:t xml:space="preserve"> Completed on 12 Feb 2025</w:t>
      </w:r>
    </w:p>
    <w:p w14:paraId="40668686">
      <w:pPr>
        <w:numPr>
          <w:ilvl w:val="0"/>
          <w:numId w:val="1"/>
        </w:numPr>
        <w:rPr>
          <w:rFonts w:ascii="Times New Roman" w:hAnsi="Times New Roman" w:cs="Times New Roman"/>
        </w:rPr>
      </w:pPr>
      <w:r>
        <w:rPr>
          <w:rFonts w:ascii="Times New Roman" w:hAnsi="Times New Roman" w:cs="Times New Roman"/>
        </w:rPr>
        <w:t xml:space="preserve">UAT Sign-Off: </w:t>
      </w:r>
      <w:r>
        <w:rPr>
          <w:rFonts w:ascii="Segoe UI Emoji" w:hAnsi="Segoe UI Emoji" w:cs="Segoe UI Emoji"/>
        </w:rPr>
        <w:t>✔️</w:t>
      </w:r>
      <w:r>
        <w:rPr>
          <w:rFonts w:ascii="Times New Roman" w:hAnsi="Times New Roman" w:cs="Times New Roman"/>
        </w:rPr>
        <w:t xml:space="preserve"> 30 May 2025</w:t>
      </w:r>
    </w:p>
    <w:p w14:paraId="5FBB7F20">
      <w:pPr>
        <w:numPr>
          <w:ilvl w:val="0"/>
          <w:numId w:val="1"/>
        </w:numPr>
        <w:rPr>
          <w:rFonts w:ascii="Times New Roman" w:hAnsi="Times New Roman" w:cs="Times New Roman"/>
        </w:rPr>
      </w:pPr>
      <w:r>
        <w:rPr>
          <w:rFonts w:ascii="Times New Roman" w:hAnsi="Times New Roman" w:cs="Times New Roman"/>
        </w:rPr>
        <w:t xml:space="preserve">Go-Live: </w:t>
      </w:r>
      <w:r>
        <w:rPr>
          <w:rFonts w:ascii="Segoe UI Emoji" w:hAnsi="Segoe UI Emoji" w:cs="Segoe UI Emoji"/>
        </w:rPr>
        <w:t>✔️</w:t>
      </w:r>
      <w:r>
        <w:rPr>
          <w:rFonts w:ascii="Times New Roman" w:hAnsi="Times New Roman" w:cs="Times New Roman"/>
        </w:rPr>
        <w:t xml:space="preserve"> 8 July 2025</w:t>
      </w:r>
    </w:p>
    <w:p w14:paraId="7900DC72">
      <w:pPr>
        <w:numPr>
          <w:ilvl w:val="0"/>
          <w:numId w:val="1"/>
        </w:numPr>
        <w:rPr>
          <w:rFonts w:ascii="Times New Roman" w:hAnsi="Times New Roman" w:cs="Times New Roman"/>
        </w:rPr>
      </w:pPr>
      <w:r>
        <w:rPr>
          <w:rFonts w:ascii="Times New Roman" w:hAnsi="Times New Roman" w:cs="Times New Roman"/>
        </w:rPr>
        <w:t xml:space="preserve">Handover to Operations: </w:t>
      </w:r>
      <w:r>
        <w:rPr>
          <w:rFonts w:ascii="Segoe UI Emoji" w:hAnsi="Segoe UI Emoji" w:cs="Segoe UI Emoji"/>
        </w:rPr>
        <w:t>✔️</w:t>
      </w:r>
      <w:r>
        <w:rPr>
          <w:rFonts w:ascii="Times New Roman" w:hAnsi="Times New Roman" w:cs="Times New Roman"/>
        </w:rPr>
        <w:t xml:space="preserve"> 20 July 2025</w:t>
      </w:r>
    </w:p>
    <w:p w14:paraId="37767245">
      <w:pPr>
        <w:numPr>
          <w:ilvl w:val="0"/>
          <w:numId w:val="1"/>
        </w:numPr>
        <w:rPr>
          <w:rFonts w:ascii="Times New Roman" w:hAnsi="Times New Roman" w:cs="Times New Roman"/>
        </w:rPr>
      </w:pPr>
      <w:r>
        <w:rPr>
          <w:rFonts w:ascii="Times New Roman" w:hAnsi="Times New Roman" w:cs="Times New Roman"/>
        </w:rPr>
        <w:t xml:space="preserve">Closure Approval: </w:t>
      </w:r>
      <w:r>
        <w:rPr>
          <w:rFonts w:ascii="Segoe UI Emoji" w:hAnsi="Segoe UI Emoji" w:cs="Segoe UI Emoji"/>
        </w:rPr>
        <w:t>✔️</w:t>
      </w:r>
      <w:r>
        <w:rPr>
          <w:rFonts w:ascii="Times New Roman" w:hAnsi="Times New Roman" w:cs="Times New Roman"/>
        </w:rPr>
        <w:t xml:space="preserve"> 26 July 2025</w:t>
      </w:r>
    </w:p>
    <w:p w14:paraId="631A6E7D">
      <w:pPr>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Stakeholder Sign-Off</w:t>
      </w:r>
    </w:p>
    <w:p w14:paraId="31D09A77">
      <w:pPr>
        <w:rPr>
          <w:rFonts w:ascii="Times New Roman" w:hAnsi="Times New Roman" w:cs="Times New Roman"/>
        </w:rPr>
      </w:pPr>
      <w:r>
        <w:rPr>
          <w:rFonts w:ascii="Times New Roman" w:hAnsi="Times New Roman" w:cs="Times New Roman"/>
        </w:rPr>
        <w:t>All department leads and the Project Steering Committee have formally accepted deliverables. Sign-off documents attached in Annex 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E585C"/>
    <w:multiLevelType w:val="multilevel"/>
    <w:tmpl w:val="079E58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99B"/>
    <w:rsid w:val="00180A00"/>
    <w:rsid w:val="0028578E"/>
    <w:rsid w:val="008C799B"/>
    <w:rsid w:val="00A35684"/>
    <w:rsid w:val="00D22FF6"/>
    <w:rsid w:val="00DE38F6"/>
    <w:rsid w:val="76356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181</Words>
  <Characters>1037</Characters>
  <Lines>8</Lines>
  <Paragraphs>2</Paragraphs>
  <TotalTime>1</TotalTime>
  <ScaleCrop>false</ScaleCrop>
  <LinksUpToDate>false</LinksUpToDate>
  <CharactersWithSpaces>1216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2025-07-28T16:56:00Z</dcterms:created>
  <dc:creator>168236-Barbara Malei</dc:creator>
  <cp:lastModifiedBy>ADMIN</cp:lastModifiedBy>
  <dcterms:modified xsi:type="dcterms:W3CDTF">2025-11-09T12:47:00Z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FFB50C8FFB2A48B8BD6F9AC95E4C0B7F_12</vt:lpwstr>
  </property>
</Properties>
</file>