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838C7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Detailed Functional &amp; Technical Requirements Document</w:t>
      </w:r>
    </w:p>
    <w:p w14:paraId="68AC9E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Odoo ERP Integration </w:t>
      </w:r>
    </w:p>
    <w:p w14:paraId="205F912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Jan-April 2025</w:t>
      </w:r>
    </w:p>
    <w:p w14:paraId="0E471DAD">
      <w:pPr>
        <w:rPr>
          <w:rFonts w:ascii="Times New Roman" w:hAnsi="Times New Roman" w:cs="Times New Roman"/>
          <w:b/>
          <w:bCs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</w:rPr>
        <w:t>A. Introduction</w:t>
      </w:r>
    </w:p>
    <w:p w14:paraId="02A1A749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Purpose:</w:t>
      </w:r>
      <w:r>
        <w:rPr>
          <w:rFonts w:ascii="Times New Roman" w:hAnsi="Times New Roman" w:cs="Times New Roman"/>
        </w:rPr>
        <w:t xml:space="preserve"> Define detailed functional and technical requirements for integrating Odoo ERP modules with telecom OSS/BSS systems and Mobile Money platforms to support billing, CRM, finance, procurement, and service management.</w:t>
      </w:r>
    </w:p>
    <w:p w14:paraId="6ED6D9D4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Scope:</w:t>
      </w:r>
      <w:r>
        <w:rPr>
          <w:rFonts w:ascii="Times New Roman" w:hAnsi="Times New Roman" w:cs="Times New Roman"/>
        </w:rPr>
        <w:t xml:space="preserve"> Covers requirements for Odoo customization, data flows, API integrations, data migration, security, performance, and compliance.</w:t>
      </w:r>
    </w:p>
    <w:p w14:paraId="744726A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B. Functional Requirements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2"/>
        <w:gridCol w:w="3314"/>
        <w:gridCol w:w="1103"/>
        <w:gridCol w:w="1612"/>
        <w:gridCol w:w="2899"/>
      </w:tblGrid>
      <w:tr w14:paraId="676EBC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EAAEE8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</w:tcPr>
          <w:p w14:paraId="3AED8C7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Requirement Description</w:t>
            </w:r>
          </w:p>
        </w:tc>
        <w:tc>
          <w:tcPr>
            <w:tcW w:w="0" w:type="auto"/>
            <w:vAlign w:val="center"/>
          </w:tcPr>
          <w:p w14:paraId="5665C1B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Priority (H/M/L)</w:t>
            </w:r>
          </w:p>
        </w:tc>
        <w:tc>
          <w:tcPr>
            <w:tcW w:w="0" w:type="auto"/>
            <w:vAlign w:val="center"/>
          </w:tcPr>
          <w:p w14:paraId="053DC74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Source / Stakeholder</w:t>
            </w:r>
          </w:p>
        </w:tc>
        <w:tc>
          <w:tcPr>
            <w:tcW w:w="0" w:type="auto"/>
            <w:vAlign w:val="center"/>
          </w:tcPr>
          <w:p w14:paraId="706E415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Acceptance Criteria</w:t>
            </w:r>
          </w:p>
        </w:tc>
      </w:tr>
      <w:tr w14:paraId="7AE795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8E2CB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FR-001</w:t>
            </w:r>
          </w:p>
        </w:tc>
        <w:tc>
          <w:tcPr>
            <w:tcW w:w="0" w:type="auto"/>
            <w:vAlign w:val="center"/>
          </w:tcPr>
          <w:p w14:paraId="019FB6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Billing module must support telecom-specific tariffs including prepaid, postpaid, and bundle offers</w:t>
            </w:r>
          </w:p>
        </w:tc>
        <w:tc>
          <w:tcPr>
            <w:tcW w:w="0" w:type="auto"/>
            <w:vAlign w:val="center"/>
          </w:tcPr>
          <w:p w14:paraId="29AEE2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37B6DE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Billing Department</w:t>
            </w:r>
          </w:p>
        </w:tc>
        <w:tc>
          <w:tcPr>
            <w:tcW w:w="0" w:type="auto"/>
            <w:vAlign w:val="center"/>
          </w:tcPr>
          <w:p w14:paraId="6AFA25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Accurate calculation of usage charges and discounts; supports real-time billing adjustments</w:t>
            </w:r>
          </w:p>
        </w:tc>
      </w:tr>
      <w:tr w14:paraId="74B3E6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5B627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FR-002</w:t>
            </w:r>
          </w:p>
        </w:tc>
        <w:tc>
          <w:tcPr>
            <w:tcW w:w="0" w:type="auto"/>
            <w:vAlign w:val="center"/>
          </w:tcPr>
          <w:p w14:paraId="56DCFD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CRM must provide a 360-degree customer view integrating data from OSS/BSS and Mobile Money transactions</w:t>
            </w:r>
          </w:p>
        </w:tc>
        <w:tc>
          <w:tcPr>
            <w:tcW w:w="0" w:type="auto"/>
            <w:vAlign w:val="center"/>
          </w:tcPr>
          <w:p w14:paraId="288F52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702B0F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 Service</w:t>
            </w:r>
          </w:p>
        </w:tc>
        <w:tc>
          <w:tcPr>
            <w:tcW w:w="0" w:type="auto"/>
            <w:vAlign w:val="center"/>
          </w:tcPr>
          <w:p w14:paraId="1567BC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 agents can view complete account and transaction history in one interface</w:t>
            </w:r>
          </w:p>
        </w:tc>
      </w:tr>
      <w:tr w14:paraId="5940AA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6B3B1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FR-003</w:t>
            </w:r>
          </w:p>
        </w:tc>
        <w:tc>
          <w:tcPr>
            <w:tcW w:w="0" w:type="auto"/>
            <w:vAlign w:val="center"/>
          </w:tcPr>
          <w:p w14:paraId="6CAA4F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Finance module must generate regulatory-compliant financial reports and electronic invoicing</w:t>
            </w:r>
          </w:p>
        </w:tc>
        <w:tc>
          <w:tcPr>
            <w:tcW w:w="0" w:type="auto"/>
            <w:vAlign w:val="center"/>
          </w:tcPr>
          <w:p w14:paraId="41A4BC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47E84A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Finance Department</w:t>
            </w:r>
          </w:p>
        </w:tc>
        <w:tc>
          <w:tcPr>
            <w:tcW w:w="0" w:type="auto"/>
            <w:vAlign w:val="center"/>
          </w:tcPr>
          <w:p w14:paraId="53B013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Reports comply with KRA and telecom regulations; invoices have audit trails</w:t>
            </w:r>
          </w:p>
        </w:tc>
      </w:tr>
      <w:tr w14:paraId="60FA38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8D12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FR-004</w:t>
            </w:r>
          </w:p>
        </w:tc>
        <w:tc>
          <w:tcPr>
            <w:tcW w:w="0" w:type="auto"/>
            <w:vAlign w:val="center"/>
          </w:tcPr>
          <w:p w14:paraId="143E22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Procurement module to manage vendor contracts, purchase orders, and inventory lifecycle of telecom assets</w:t>
            </w:r>
          </w:p>
        </w:tc>
        <w:tc>
          <w:tcPr>
            <w:tcW w:w="0" w:type="auto"/>
            <w:vAlign w:val="center"/>
          </w:tcPr>
          <w:p w14:paraId="726467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54C041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Procurement Team</w:t>
            </w:r>
          </w:p>
        </w:tc>
        <w:tc>
          <w:tcPr>
            <w:tcW w:w="0" w:type="auto"/>
            <w:vAlign w:val="center"/>
          </w:tcPr>
          <w:p w14:paraId="53259E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Real-time stock tracking and automated reorder alerts</w:t>
            </w:r>
          </w:p>
        </w:tc>
      </w:tr>
      <w:tr w14:paraId="6435FD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A9C7B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FR-005</w:t>
            </w:r>
          </w:p>
        </w:tc>
        <w:tc>
          <w:tcPr>
            <w:tcW w:w="0" w:type="auto"/>
            <w:vAlign w:val="center"/>
          </w:tcPr>
          <w:p w14:paraId="39F937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Service Management must log, track, and escalate faults linked with network OSS data</w:t>
            </w:r>
          </w:p>
        </w:tc>
        <w:tc>
          <w:tcPr>
            <w:tcW w:w="0" w:type="auto"/>
            <w:vAlign w:val="center"/>
          </w:tcPr>
          <w:p w14:paraId="15B4CAA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4BFD2D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Network Operations</w:t>
            </w:r>
          </w:p>
        </w:tc>
        <w:tc>
          <w:tcPr>
            <w:tcW w:w="0" w:type="auto"/>
            <w:vAlign w:val="center"/>
          </w:tcPr>
          <w:p w14:paraId="4AB99C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Automated ticket creation on fault detection; SLA tracking</w:t>
            </w:r>
          </w:p>
        </w:tc>
      </w:tr>
      <w:tr w14:paraId="064B7E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D2E3F9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FR-006</w:t>
            </w:r>
          </w:p>
        </w:tc>
        <w:tc>
          <w:tcPr>
            <w:tcW w:w="0" w:type="auto"/>
            <w:vAlign w:val="center"/>
          </w:tcPr>
          <w:p w14:paraId="4B2646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Mobile Money platform integration for real-time payment processing and reconciliation</w:t>
            </w:r>
          </w:p>
        </w:tc>
        <w:tc>
          <w:tcPr>
            <w:tcW w:w="0" w:type="auto"/>
            <w:vAlign w:val="center"/>
          </w:tcPr>
          <w:p w14:paraId="043CE0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48B7E96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Mobile Money Team</w:t>
            </w:r>
          </w:p>
        </w:tc>
        <w:tc>
          <w:tcPr>
            <w:tcW w:w="0" w:type="auto"/>
            <w:vAlign w:val="center"/>
          </w:tcPr>
          <w:p w14:paraId="5FA8E2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Transactions reflected instantly in billing and finance modules</w:t>
            </w:r>
          </w:p>
        </w:tc>
      </w:tr>
      <w:tr w14:paraId="6D7012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77E33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FR-007</w:t>
            </w:r>
          </w:p>
        </w:tc>
        <w:tc>
          <w:tcPr>
            <w:tcW w:w="0" w:type="auto"/>
            <w:vAlign w:val="center"/>
          </w:tcPr>
          <w:p w14:paraId="7C10FA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roles and permissions configured to ensure least privilege access across ERP modules</w:t>
            </w:r>
          </w:p>
        </w:tc>
        <w:tc>
          <w:tcPr>
            <w:tcW w:w="0" w:type="auto"/>
            <w:vAlign w:val="center"/>
          </w:tcPr>
          <w:p w14:paraId="720E08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3E0977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 &amp; Compliance</w:t>
            </w:r>
          </w:p>
        </w:tc>
        <w:tc>
          <w:tcPr>
            <w:tcW w:w="0" w:type="auto"/>
            <w:vAlign w:val="center"/>
          </w:tcPr>
          <w:p w14:paraId="38A286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Role-based access controls implemented; audited regularly</w:t>
            </w:r>
          </w:p>
        </w:tc>
      </w:tr>
      <w:tr w14:paraId="6EC97B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3B136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FR-008</w:t>
            </w:r>
          </w:p>
        </w:tc>
        <w:tc>
          <w:tcPr>
            <w:tcW w:w="0" w:type="auto"/>
            <w:vAlign w:val="center"/>
          </w:tcPr>
          <w:p w14:paraId="68671E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Workflow automation for customer onboarding and disconnection processes</w:t>
            </w:r>
          </w:p>
        </w:tc>
        <w:tc>
          <w:tcPr>
            <w:tcW w:w="0" w:type="auto"/>
            <w:vAlign w:val="center"/>
          </w:tcPr>
          <w:p w14:paraId="02FC2C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639511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 Service</w:t>
            </w:r>
          </w:p>
        </w:tc>
        <w:tc>
          <w:tcPr>
            <w:tcW w:w="0" w:type="auto"/>
            <w:vAlign w:val="center"/>
          </w:tcPr>
          <w:p w14:paraId="3DC8A8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Automated approval and notification workflows with audit logs</w:t>
            </w:r>
          </w:p>
        </w:tc>
      </w:tr>
      <w:tr w14:paraId="0F75DA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30B3F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FR-009</w:t>
            </w:r>
          </w:p>
        </w:tc>
        <w:tc>
          <w:tcPr>
            <w:tcW w:w="0" w:type="auto"/>
            <w:vAlign w:val="center"/>
          </w:tcPr>
          <w:p w14:paraId="1CDFFA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System must support multilingual interfaces (English and Kiswahili) for end users</w:t>
            </w:r>
          </w:p>
        </w:tc>
        <w:tc>
          <w:tcPr>
            <w:tcW w:w="0" w:type="auto"/>
            <w:vAlign w:val="center"/>
          </w:tcPr>
          <w:p w14:paraId="4B77A7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</w:tcPr>
          <w:p w14:paraId="04F149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HR / Training Department</w:t>
            </w:r>
          </w:p>
        </w:tc>
        <w:tc>
          <w:tcPr>
            <w:tcW w:w="0" w:type="auto"/>
            <w:vAlign w:val="center"/>
          </w:tcPr>
          <w:p w14:paraId="339C6C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Language toggle available; all UI elements translated</w:t>
            </w:r>
          </w:p>
        </w:tc>
      </w:tr>
      <w:tr w14:paraId="6CB4F03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D3C6B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FR-010</w:t>
            </w:r>
          </w:p>
        </w:tc>
        <w:tc>
          <w:tcPr>
            <w:tcW w:w="0" w:type="auto"/>
            <w:vAlign w:val="center"/>
          </w:tcPr>
          <w:p w14:paraId="32A6D9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Support for mobile and web access to ERP portals with responsive design</w:t>
            </w:r>
          </w:p>
        </w:tc>
        <w:tc>
          <w:tcPr>
            <w:tcW w:w="0" w:type="auto"/>
            <w:vAlign w:val="center"/>
          </w:tcPr>
          <w:p w14:paraId="73F06D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021D71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Infrastructure</w:t>
            </w:r>
          </w:p>
        </w:tc>
        <w:tc>
          <w:tcPr>
            <w:tcW w:w="0" w:type="auto"/>
            <w:vAlign w:val="center"/>
          </w:tcPr>
          <w:p w14:paraId="2EE937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Accessible securely on desktop and mobile devices</w:t>
            </w:r>
          </w:p>
        </w:tc>
      </w:tr>
    </w:tbl>
    <w:p w14:paraId="4591224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C. Technical Requirements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1"/>
        <w:gridCol w:w="3678"/>
        <w:gridCol w:w="1120"/>
        <w:gridCol w:w="1646"/>
        <w:gridCol w:w="2465"/>
      </w:tblGrid>
      <w:tr w14:paraId="5C77F7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D6C8C8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</w:tcPr>
          <w:p w14:paraId="38EA5BA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Requirement Description</w:t>
            </w:r>
          </w:p>
        </w:tc>
        <w:tc>
          <w:tcPr>
            <w:tcW w:w="0" w:type="auto"/>
            <w:vAlign w:val="center"/>
          </w:tcPr>
          <w:p w14:paraId="66C8858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Priority (H/M/L)</w:t>
            </w:r>
          </w:p>
        </w:tc>
        <w:tc>
          <w:tcPr>
            <w:tcW w:w="0" w:type="auto"/>
            <w:vAlign w:val="center"/>
          </w:tcPr>
          <w:p w14:paraId="760CB02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Source / Stakeholder</w:t>
            </w:r>
          </w:p>
        </w:tc>
        <w:tc>
          <w:tcPr>
            <w:tcW w:w="0" w:type="auto"/>
            <w:vAlign w:val="center"/>
          </w:tcPr>
          <w:p w14:paraId="6211454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Acceptance Criteria</w:t>
            </w:r>
          </w:p>
        </w:tc>
      </w:tr>
      <w:tr w14:paraId="597D0B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2058A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TR-001</w:t>
            </w:r>
          </w:p>
        </w:tc>
        <w:tc>
          <w:tcPr>
            <w:tcW w:w="0" w:type="auto"/>
            <w:vAlign w:val="center"/>
          </w:tcPr>
          <w:p w14:paraId="44865B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ERP must integrate with OSS/BSS systems using RESTful APIs with JSON data format</w:t>
            </w:r>
          </w:p>
        </w:tc>
        <w:tc>
          <w:tcPr>
            <w:tcW w:w="0" w:type="auto"/>
            <w:vAlign w:val="center"/>
          </w:tcPr>
          <w:p w14:paraId="14F507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4CE0BB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Architecture</w:t>
            </w:r>
          </w:p>
        </w:tc>
        <w:tc>
          <w:tcPr>
            <w:tcW w:w="0" w:type="auto"/>
            <w:vAlign w:val="center"/>
          </w:tcPr>
          <w:p w14:paraId="6F5467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Bi-directional data sync with latency under 5 seconds</w:t>
            </w:r>
          </w:p>
        </w:tc>
      </w:tr>
      <w:tr w14:paraId="4AA2AA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5AEB8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TR-002</w:t>
            </w:r>
          </w:p>
        </w:tc>
        <w:tc>
          <w:tcPr>
            <w:tcW w:w="0" w:type="auto"/>
            <w:vAlign w:val="center"/>
          </w:tcPr>
          <w:p w14:paraId="15642A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Middleware to manage message queuing and orchestration between Odoo and OSS/BSS</w:t>
            </w:r>
          </w:p>
        </w:tc>
        <w:tc>
          <w:tcPr>
            <w:tcW w:w="0" w:type="auto"/>
            <w:vAlign w:val="center"/>
          </w:tcPr>
          <w:p w14:paraId="14EFBE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2DE356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Integration Team</w:t>
            </w:r>
          </w:p>
        </w:tc>
        <w:tc>
          <w:tcPr>
            <w:tcW w:w="0" w:type="auto"/>
            <w:vAlign w:val="center"/>
          </w:tcPr>
          <w:p w14:paraId="4B1428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Middleware supports retry, error logging, and monitoring</w:t>
            </w:r>
          </w:p>
        </w:tc>
      </w:tr>
      <w:tr w14:paraId="0873CE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4B583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TR-003</w:t>
            </w:r>
          </w:p>
        </w:tc>
        <w:tc>
          <w:tcPr>
            <w:tcW w:w="0" w:type="auto"/>
            <w:vAlign w:val="center"/>
          </w:tcPr>
          <w:p w14:paraId="449188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migration tools must support extraction, transformation, and loading (ETL) of legacy data with validation rules</w:t>
            </w:r>
          </w:p>
        </w:tc>
        <w:tc>
          <w:tcPr>
            <w:tcW w:w="0" w:type="auto"/>
            <w:vAlign w:val="center"/>
          </w:tcPr>
          <w:p w14:paraId="28FF8F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66E2FBA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Migration Team</w:t>
            </w:r>
          </w:p>
        </w:tc>
        <w:tc>
          <w:tcPr>
            <w:tcW w:w="0" w:type="auto"/>
            <w:vAlign w:val="center"/>
          </w:tcPr>
          <w:p w14:paraId="0CDF93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accuracy &gt; 99%; migration logs generated</w:t>
            </w:r>
          </w:p>
        </w:tc>
      </w:tr>
      <w:tr w14:paraId="00A970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2F02C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TR-004</w:t>
            </w:r>
          </w:p>
        </w:tc>
        <w:tc>
          <w:tcPr>
            <w:tcW w:w="0" w:type="auto"/>
            <w:vAlign w:val="center"/>
          </w:tcPr>
          <w:p w14:paraId="367484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System must be deployed on a scalable infrastructure supporting cloud and hybrid options</w:t>
            </w:r>
          </w:p>
        </w:tc>
        <w:tc>
          <w:tcPr>
            <w:tcW w:w="0" w:type="auto"/>
            <w:vAlign w:val="center"/>
          </w:tcPr>
          <w:p w14:paraId="5189D5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0FB713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Infrastructure</w:t>
            </w:r>
          </w:p>
        </w:tc>
        <w:tc>
          <w:tcPr>
            <w:tcW w:w="0" w:type="auto"/>
            <w:vAlign w:val="center"/>
          </w:tcPr>
          <w:p w14:paraId="193C0B9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Auto-scaling enabled; SLA 99.9% uptime</w:t>
            </w:r>
          </w:p>
        </w:tc>
      </w:tr>
      <w:tr w14:paraId="6F4DA8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04222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TR-005</w:t>
            </w:r>
          </w:p>
        </w:tc>
        <w:tc>
          <w:tcPr>
            <w:tcW w:w="0" w:type="auto"/>
            <w:vAlign w:val="center"/>
          </w:tcPr>
          <w:p w14:paraId="37691A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 protocols to include OAuth 2.0 for API authentication and AES-256 encryption for sensitive data</w:t>
            </w:r>
          </w:p>
        </w:tc>
        <w:tc>
          <w:tcPr>
            <w:tcW w:w="0" w:type="auto"/>
            <w:vAlign w:val="center"/>
          </w:tcPr>
          <w:p w14:paraId="2687CB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25D765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 Team</w:t>
            </w:r>
          </w:p>
        </w:tc>
        <w:tc>
          <w:tcPr>
            <w:tcW w:w="0" w:type="auto"/>
            <w:vAlign w:val="center"/>
          </w:tcPr>
          <w:p w14:paraId="1B5D05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 API calls authenticated; data encrypted at rest and in transit</w:t>
            </w:r>
          </w:p>
        </w:tc>
      </w:tr>
      <w:tr w14:paraId="6F2429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6E043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TR-006</w:t>
            </w:r>
          </w:p>
        </w:tc>
        <w:tc>
          <w:tcPr>
            <w:tcW w:w="0" w:type="auto"/>
            <w:vAlign w:val="center"/>
          </w:tcPr>
          <w:p w14:paraId="2C8CD1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Audit logging must capture all key transactions with timestamp, user ID, and action details</w:t>
            </w:r>
          </w:p>
        </w:tc>
        <w:tc>
          <w:tcPr>
            <w:tcW w:w="0" w:type="auto"/>
            <w:vAlign w:val="center"/>
          </w:tcPr>
          <w:p w14:paraId="07FCE9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03E27C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Compliance Team</w:t>
            </w:r>
          </w:p>
        </w:tc>
        <w:tc>
          <w:tcPr>
            <w:tcW w:w="0" w:type="auto"/>
            <w:vAlign w:val="center"/>
          </w:tcPr>
          <w:p w14:paraId="2399DD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Logs tamper-proof and retained per regulatory requirements</w:t>
            </w:r>
          </w:p>
        </w:tc>
      </w:tr>
      <w:tr w14:paraId="3EED20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9357D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TR-007</w:t>
            </w:r>
          </w:p>
        </w:tc>
        <w:tc>
          <w:tcPr>
            <w:tcW w:w="0" w:type="auto"/>
            <w:vAlign w:val="center"/>
          </w:tcPr>
          <w:p w14:paraId="09A70D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Performance benchmarks: ERP should handle 10,000 concurrent users with max response time of 2 seconds</w:t>
            </w:r>
          </w:p>
        </w:tc>
        <w:tc>
          <w:tcPr>
            <w:tcW w:w="0" w:type="auto"/>
            <w:vAlign w:val="center"/>
          </w:tcPr>
          <w:p w14:paraId="3CA94B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5D5143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Performance Testing Team</w:t>
            </w:r>
          </w:p>
        </w:tc>
        <w:tc>
          <w:tcPr>
            <w:tcW w:w="0" w:type="auto"/>
            <w:vAlign w:val="center"/>
          </w:tcPr>
          <w:p w14:paraId="74DF85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Load test results meet or exceed benchmarks</w:t>
            </w:r>
          </w:p>
        </w:tc>
      </w:tr>
      <w:tr w14:paraId="595285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1DB79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TR-008</w:t>
            </w:r>
          </w:p>
        </w:tc>
        <w:tc>
          <w:tcPr>
            <w:tcW w:w="0" w:type="auto"/>
            <w:vAlign w:val="center"/>
          </w:tcPr>
          <w:p w14:paraId="5492EA9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Backup and disaster recovery processes must ensure RPO of 15 minutes and RTO of 2 hours</w:t>
            </w:r>
          </w:p>
        </w:tc>
        <w:tc>
          <w:tcPr>
            <w:tcW w:w="0" w:type="auto"/>
            <w:vAlign w:val="center"/>
          </w:tcPr>
          <w:p w14:paraId="403D6D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60764D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Operations</w:t>
            </w:r>
          </w:p>
        </w:tc>
        <w:tc>
          <w:tcPr>
            <w:tcW w:w="0" w:type="auto"/>
            <w:vAlign w:val="center"/>
          </w:tcPr>
          <w:p w14:paraId="400A05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Automated backups and tested recovery plans</w:t>
            </w:r>
          </w:p>
        </w:tc>
      </w:tr>
      <w:tr w14:paraId="6F118C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3F81A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TR-009</w:t>
            </w:r>
          </w:p>
        </w:tc>
        <w:tc>
          <w:tcPr>
            <w:tcW w:w="0" w:type="auto"/>
            <w:vAlign w:val="center"/>
          </w:tcPr>
          <w:p w14:paraId="3C99B1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Support integration with Mobile Money APIs (e.g., M-PESA) with transaction security and error handling</w:t>
            </w:r>
          </w:p>
        </w:tc>
        <w:tc>
          <w:tcPr>
            <w:tcW w:w="0" w:type="auto"/>
            <w:vAlign w:val="center"/>
          </w:tcPr>
          <w:p w14:paraId="50D817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5CA54B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Mobile Money Team</w:t>
            </w:r>
          </w:p>
        </w:tc>
        <w:tc>
          <w:tcPr>
            <w:tcW w:w="0" w:type="auto"/>
            <w:vAlign w:val="center"/>
          </w:tcPr>
          <w:p w14:paraId="6F4C1D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API calls handle exceptions gracefully and log failures</w:t>
            </w:r>
          </w:p>
        </w:tc>
      </w:tr>
      <w:tr w14:paraId="2C59CE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FAFF2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TR-010</w:t>
            </w:r>
          </w:p>
        </w:tc>
        <w:tc>
          <w:tcPr>
            <w:tcW w:w="0" w:type="auto"/>
            <w:vAlign w:val="center"/>
          </w:tcPr>
          <w:p w14:paraId="436125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ERP system must comply with Kenya Data Protection Act and ISO/IEC 27001 security standards</w:t>
            </w:r>
          </w:p>
        </w:tc>
        <w:tc>
          <w:tcPr>
            <w:tcW w:w="0" w:type="auto"/>
            <w:vAlign w:val="center"/>
          </w:tcPr>
          <w:p w14:paraId="06A1DC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77400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Legal and Compliance</w:t>
            </w:r>
          </w:p>
        </w:tc>
        <w:tc>
          <w:tcPr>
            <w:tcW w:w="0" w:type="auto"/>
            <w:vAlign w:val="center"/>
          </w:tcPr>
          <w:p w14:paraId="11BBE1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Compliance certificates and audit reports available</w:t>
            </w:r>
          </w:p>
        </w:tc>
      </w:tr>
    </w:tbl>
    <w:p w14:paraId="384C10AC">
      <w:pPr>
        <w:rPr>
          <w:rFonts w:ascii="Times New Roman" w:hAnsi="Times New Roman" w:cs="Times New Roman"/>
        </w:rPr>
      </w:pPr>
    </w:p>
    <w:p w14:paraId="77630A1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D. Data Flow Diagrams and Integration Architecture</w:t>
      </w:r>
    </w:p>
    <w:p w14:paraId="23B6320C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Include high-level diagrams illustrating:</w:t>
      </w:r>
    </w:p>
    <w:p w14:paraId="09D36178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flows between Odoo ERP modules and OSS/BSS systems</w:t>
      </w:r>
    </w:p>
    <w:p w14:paraId="3ABD4D89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API middleware orchestration</w:t>
      </w:r>
    </w:p>
    <w:p w14:paraId="23794EE7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Mobile Money integration points</w:t>
      </w:r>
    </w:p>
    <w:p w14:paraId="7520748F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Security layers and access control mechanisms</w:t>
      </w:r>
    </w:p>
    <w:p w14:paraId="410C9C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(Attach diagrams in appendix or reference linked documents)</w:t>
      </w:r>
    </w:p>
    <w:p w14:paraId="1A0837A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E. Non-Functional Requirements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5"/>
        <w:gridCol w:w="5085"/>
        <w:gridCol w:w="889"/>
      </w:tblGrid>
      <w:tr w14:paraId="061430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E81376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</w:tcPr>
          <w:p w14:paraId="3C6E22D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</w:tcPr>
          <w:p w14:paraId="3AF2674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14:paraId="0D486E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F8654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Availability</w:t>
            </w:r>
          </w:p>
        </w:tc>
        <w:tc>
          <w:tcPr>
            <w:tcW w:w="0" w:type="auto"/>
            <w:vAlign w:val="center"/>
          </w:tcPr>
          <w:p w14:paraId="2C64E3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System uptime 99.9%</w:t>
            </w:r>
          </w:p>
        </w:tc>
        <w:tc>
          <w:tcPr>
            <w:tcW w:w="0" w:type="auto"/>
            <w:vAlign w:val="center"/>
          </w:tcPr>
          <w:p w14:paraId="0BC3AC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14:paraId="100C34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5398D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vAlign w:val="center"/>
          </w:tcPr>
          <w:p w14:paraId="7BAA33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Support growth in users and transaction volumes</w:t>
            </w:r>
          </w:p>
        </w:tc>
        <w:tc>
          <w:tcPr>
            <w:tcW w:w="0" w:type="auto"/>
            <w:vAlign w:val="center"/>
          </w:tcPr>
          <w:p w14:paraId="757EE8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14:paraId="5F2282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095519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</w:tcPr>
          <w:p w14:paraId="2752B9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Modular codebase to facilitate upgrades and patches</w:t>
            </w:r>
          </w:p>
        </w:tc>
        <w:tc>
          <w:tcPr>
            <w:tcW w:w="0" w:type="auto"/>
            <w:vAlign w:val="center"/>
          </w:tcPr>
          <w:p w14:paraId="078EE8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  <w:tr w14:paraId="6E4D91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E6829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vAlign w:val="center"/>
          </w:tcPr>
          <w:p w14:paraId="2EF371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Intuitive UI/UX to minimize training needs</w:t>
            </w:r>
          </w:p>
        </w:tc>
        <w:tc>
          <w:tcPr>
            <w:tcW w:w="0" w:type="auto"/>
            <w:vAlign w:val="center"/>
          </w:tcPr>
          <w:p w14:paraId="11A6E4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  <w:tr w14:paraId="5EF79D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EA47D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Compliance</w:t>
            </w:r>
          </w:p>
        </w:tc>
        <w:tc>
          <w:tcPr>
            <w:tcW w:w="0" w:type="auto"/>
            <w:vAlign w:val="center"/>
          </w:tcPr>
          <w:p w14:paraId="5B92AA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Adherence to all relevant regulations and standards</w:t>
            </w:r>
          </w:p>
        </w:tc>
        <w:tc>
          <w:tcPr>
            <w:tcW w:w="0" w:type="auto"/>
            <w:vAlign w:val="center"/>
          </w:tcPr>
          <w:p w14:paraId="0938B2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14:paraId="1EB129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30645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</w:tcPr>
          <w:p w14:paraId="63C858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System response within 2 seconds under peak load</w:t>
            </w:r>
          </w:p>
        </w:tc>
        <w:tc>
          <w:tcPr>
            <w:tcW w:w="0" w:type="auto"/>
            <w:vAlign w:val="center"/>
          </w:tcPr>
          <w:p w14:paraId="2120521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</w:tbl>
    <w:p w14:paraId="0B373BD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F. Assumptions and Constraints</w:t>
      </w:r>
    </w:p>
    <w:p w14:paraId="0771726F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OSS/BSS APIs are stable and available during integration.</w:t>
      </w:r>
    </w:p>
    <w:p w14:paraId="2A3C4A85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Legacy data quality is sufficient for migration.</w:t>
      </w:r>
    </w:p>
    <w:p w14:paraId="702700C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Regulatory requirements remain stable during project lifecycle.</w:t>
      </w:r>
    </w:p>
    <w:p w14:paraId="37CDB2E7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Vendor support and documentation for third-party systems are accessible.</w:t>
      </w:r>
    </w:p>
    <w:p w14:paraId="0DB626F9">
      <w:pPr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A4746B"/>
    <w:multiLevelType w:val="multilevel"/>
    <w:tmpl w:val="2BA474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253615F"/>
    <w:multiLevelType w:val="multilevel"/>
    <w:tmpl w:val="325361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77415D47"/>
    <w:multiLevelType w:val="multilevel"/>
    <w:tmpl w:val="77415D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1743"/>
    <w:rsid w:val="00180A00"/>
    <w:rsid w:val="0028578E"/>
    <w:rsid w:val="005B294F"/>
    <w:rsid w:val="00851743"/>
    <w:rsid w:val="00A35684"/>
    <w:rsid w:val="00D22FF6"/>
    <w:rsid w:val="00DE38F6"/>
    <w:rsid w:val="6BB66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811</Words>
  <Characters>4624</Characters>
  <Lines>38</Lines>
  <Paragraphs>10</Paragraphs>
  <TotalTime>0</TotalTime>
  <ScaleCrop>false</ScaleCrop>
  <LinksUpToDate>false</LinksUpToDate>
  <CharactersWithSpaces>5425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2025-07-28T15:55:00Z</dcterms:created>
  <dc:creator>168236-Barbara Malei</dc:creator>
  <cp:lastModifiedBy>ADMIN</cp:lastModifiedBy>
  <dcterms:modified xsi:type="dcterms:W3CDTF">2025-11-09T12:28:45Z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6EDE60587E7C4695B0CD8BDBDAD7D42A_12</vt:lpwstr>
  </property>
</Properties>
</file>