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79B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Integrated Risk Management Plan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65422FD1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A. Risk Management Objectives</w:t>
      </w:r>
    </w:p>
    <w:p w14:paraId="491A862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and assess risks early to minimize impact on project objectives.</w:t>
      </w:r>
    </w:p>
    <w:p w14:paraId="0AA0EAC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effective mitigation and contingency plans.</w:t>
      </w:r>
    </w:p>
    <w:p w14:paraId="7CC4C3C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 clear ownership for risk monitoring and response.</w:t>
      </w:r>
    </w:p>
    <w:p w14:paraId="5447872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continuous risk communication and reporting.</w:t>
      </w:r>
    </w:p>
    <w:p w14:paraId="182B6D4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Risk Management Process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2209"/>
        <w:gridCol w:w="3496"/>
        <w:gridCol w:w="1963"/>
      </w:tblGrid>
      <w:tr w14:paraId="508695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A891E8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</w:tcPr>
          <w:p w14:paraId="5E4F037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</w:tcPr>
          <w:p w14:paraId="4C278E9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1618604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</w:tr>
      <w:tr w14:paraId="40338A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8C8B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 Identification</w:t>
            </w:r>
          </w:p>
        </w:tc>
        <w:tc>
          <w:tcPr>
            <w:tcW w:w="0" w:type="auto"/>
            <w:vAlign w:val="center"/>
          </w:tcPr>
          <w:p w14:paraId="108993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Workshops, Interviews, Document Reviews</w:t>
            </w:r>
          </w:p>
        </w:tc>
        <w:tc>
          <w:tcPr>
            <w:tcW w:w="0" w:type="auto"/>
            <w:vAlign w:val="center"/>
          </w:tcPr>
          <w:p w14:paraId="20FDA5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potential risks across scope, schedule, cost, quality, and compliance</w:t>
            </w:r>
          </w:p>
        </w:tc>
        <w:tc>
          <w:tcPr>
            <w:tcW w:w="0" w:type="auto"/>
            <w:vAlign w:val="center"/>
          </w:tcPr>
          <w:p w14:paraId="2B1F0D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Manager, Team Leads</w:t>
            </w:r>
          </w:p>
        </w:tc>
      </w:tr>
      <w:tr w14:paraId="09CBC6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0F80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 Assessment</w:t>
            </w:r>
          </w:p>
        </w:tc>
        <w:tc>
          <w:tcPr>
            <w:tcW w:w="0" w:type="auto"/>
            <w:vAlign w:val="center"/>
          </w:tcPr>
          <w:p w14:paraId="5B2D7F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Probability and Impact Analysis</w:t>
            </w:r>
          </w:p>
        </w:tc>
        <w:tc>
          <w:tcPr>
            <w:tcW w:w="0" w:type="auto"/>
            <w:vAlign w:val="center"/>
          </w:tcPr>
          <w:p w14:paraId="3F3751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 likelihood and impact; prioritize risks</w:t>
            </w:r>
          </w:p>
        </w:tc>
        <w:tc>
          <w:tcPr>
            <w:tcW w:w="0" w:type="auto"/>
            <w:vAlign w:val="center"/>
          </w:tcPr>
          <w:p w14:paraId="445C5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 Owner, PMO</w:t>
            </w:r>
          </w:p>
        </w:tc>
      </w:tr>
      <w:tr w14:paraId="276EE6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18A2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 Response Planning</w:t>
            </w:r>
          </w:p>
        </w:tc>
        <w:tc>
          <w:tcPr>
            <w:tcW w:w="0" w:type="auto"/>
            <w:vAlign w:val="center"/>
          </w:tcPr>
          <w:p w14:paraId="07954A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 Mitigation and Contingency Plans</w:t>
            </w:r>
          </w:p>
        </w:tc>
        <w:tc>
          <w:tcPr>
            <w:tcW w:w="0" w:type="auto"/>
            <w:vAlign w:val="center"/>
          </w:tcPr>
          <w:p w14:paraId="27FD7E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actions to reduce risk probability or impact and contingency steps if risk occurs</w:t>
            </w:r>
          </w:p>
        </w:tc>
        <w:tc>
          <w:tcPr>
            <w:tcW w:w="0" w:type="auto"/>
            <w:vAlign w:val="center"/>
          </w:tcPr>
          <w:p w14:paraId="16F47E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 Owner, Project Manager</w:t>
            </w:r>
          </w:p>
        </w:tc>
      </w:tr>
      <w:tr w14:paraId="73656C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EE50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 Monitoring &amp; Control</w:t>
            </w:r>
          </w:p>
        </w:tc>
        <w:tc>
          <w:tcPr>
            <w:tcW w:w="0" w:type="auto"/>
            <w:vAlign w:val="center"/>
          </w:tcPr>
          <w:p w14:paraId="0AB01A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Regular Reviews and Updates</w:t>
            </w:r>
          </w:p>
        </w:tc>
        <w:tc>
          <w:tcPr>
            <w:tcW w:w="0" w:type="auto"/>
            <w:vAlign w:val="center"/>
          </w:tcPr>
          <w:p w14:paraId="634B1A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Track risk status, effectiveness of responses, escalate as needed</w:t>
            </w:r>
          </w:p>
        </w:tc>
        <w:tc>
          <w:tcPr>
            <w:tcW w:w="0" w:type="auto"/>
            <w:vAlign w:val="center"/>
          </w:tcPr>
          <w:p w14:paraId="388951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PMO, Risk Owner</w:t>
            </w:r>
          </w:p>
        </w:tc>
      </w:tr>
    </w:tbl>
    <w:p w14:paraId="5010BD7C">
      <w:pPr>
        <w:rPr>
          <w:rFonts w:ascii="Times New Roman" w:hAnsi="Times New Roman" w:cs="Times New Roman"/>
        </w:rPr>
      </w:pPr>
    </w:p>
    <w:p w14:paraId="657310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Risk Register (Sample Entries)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0"/>
        <w:gridCol w:w="1549"/>
        <w:gridCol w:w="1216"/>
        <w:gridCol w:w="874"/>
        <w:gridCol w:w="874"/>
        <w:gridCol w:w="1652"/>
        <w:gridCol w:w="1477"/>
        <w:gridCol w:w="1258"/>
      </w:tblGrid>
      <w:tr w14:paraId="48CE2E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86C6F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</w:tcPr>
          <w:p w14:paraId="5FC5218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Risk Description</w:t>
            </w:r>
          </w:p>
        </w:tc>
        <w:tc>
          <w:tcPr>
            <w:tcW w:w="0" w:type="auto"/>
            <w:vAlign w:val="center"/>
          </w:tcPr>
          <w:p w14:paraId="4668C9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</w:tcPr>
          <w:p w14:paraId="10C69B7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</w:tcPr>
          <w:p w14:paraId="01B5A3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</w:tcPr>
          <w:p w14:paraId="119ACF2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Mitigation Strategy</w:t>
            </w:r>
          </w:p>
        </w:tc>
        <w:tc>
          <w:tcPr>
            <w:tcW w:w="0" w:type="auto"/>
            <w:vAlign w:val="center"/>
          </w:tcPr>
          <w:p w14:paraId="56F013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Contingency Plan</w:t>
            </w:r>
          </w:p>
        </w:tc>
        <w:tc>
          <w:tcPr>
            <w:tcW w:w="0" w:type="auto"/>
            <w:vAlign w:val="center"/>
          </w:tcPr>
          <w:p w14:paraId="63E472B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14:paraId="58FA85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BC98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0" w:type="auto"/>
            <w:vAlign w:val="center"/>
          </w:tcPr>
          <w:p w14:paraId="02BC9D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Delays in obtaining OSS/BSS integration specs</w:t>
            </w:r>
          </w:p>
        </w:tc>
        <w:tc>
          <w:tcPr>
            <w:tcW w:w="0" w:type="auto"/>
            <w:vAlign w:val="center"/>
          </w:tcPr>
          <w:p w14:paraId="732394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57BB1C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677BC7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097BCC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Engage OSS/BSS teams early; establish SLAs for information delivery</w:t>
            </w:r>
          </w:p>
        </w:tc>
        <w:tc>
          <w:tcPr>
            <w:tcW w:w="0" w:type="auto"/>
            <w:vAlign w:val="center"/>
          </w:tcPr>
          <w:p w14:paraId="146DB5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Allocate buffer time in schedule; escalate delays</w:t>
            </w:r>
          </w:p>
        </w:tc>
        <w:tc>
          <w:tcPr>
            <w:tcW w:w="0" w:type="auto"/>
            <w:vAlign w:val="center"/>
          </w:tcPr>
          <w:p w14:paraId="642A0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Lead</w:t>
            </w:r>
          </w:p>
        </w:tc>
      </w:tr>
      <w:tr w14:paraId="1FED74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47DF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0" w:type="auto"/>
            <w:vAlign w:val="center"/>
          </w:tcPr>
          <w:p w14:paraId="2F54F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migration errors causing billing discrepancies</w:t>
            </w:r>
          </w:p>
        </w:tc>
        <w:tc>
          <w:tcPr>
            <w:tcW w:w="0" w:type="auto"/>
            <w:vAlign w:val="center"/>
          </w:tcPr>
          <w:p w14:paraId="4F0949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533AF4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68860A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D1CA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Conduct data profiling, cleansing, pilot migrations</w:t>
            </w:r>
          </w:p>
        </w:tc>
        <w:tc>
          <w:tcPr>
            <w:tcW w:w="0" w:type="auto"/>
            <w:vAlign w:val="center"/>
          </w:tcPr>
          <w:p w14:paraId="6924F0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 rollback plan; maintain legacy system fallback</w:t>
            </w:r>
          </w:p>
        </w:tc>
        <w:tc>
          <w:tcPr>
            <w:tcW w:w="0" w:type="auto"/>
            <w:vAlign w:val="center"/>
          </w:tcPr>
          <w:p w14:paraId="66A5D2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Migration Lead</w:t>
            </w:r>
          </w:p>
        </w:tc>
      </w:tr>
      <w:tr w14:paraId="386495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62D5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0" w:type="auto"/>
            <w:vAlign w:val="center"/>
          </w:tcPr>
          <w:p w14:paraId="12F2C7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Resistance from users to new ERP processes</w:t>
            </w:r>
          </w:p>
        </w:tc>
        <w:tc>
          <w:tcPr>
            <w:tcW w:w="0" w:type="auto"/>
            <w:vAlign w:val="center"/>
          </w:tcPr>
          <w:p w14:paraId="753120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4753D6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5A7980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071FAA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 comprehensive change management and training plans</w:t>
            </w:r>
          </w:p>
        </w:tc>
        <w:tc>
          <w:tcPr>
            <w:tcW w:w="0" w:type="auto"/>
            <w:vAlign w:val="center"/>
          </w:tcPr>
          <w:p w14:paraId="0864A3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Provide additional user support and coaching</w:t>
            </w:r>
          </w:p>
        </w:tc>
        <w:tc>
          <w:tcPr>
            <w:tcW w:w="0" w:type="auto"/>
            <w:vAlign w:val="center"/>
          </w:tcPr>
          <w:p w14:paraId="005D53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Change Manager</w:t>
            </w:r>
          </w:p>
        </w:tc>
      </w:tr>
      <w:tr w14:paraId="372EFD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A0EE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R4</w:t>
            </w:r>
          </w:p>
        </w:tc>
        <w:tc>
          <w:tcPr>
            <w:tcW w:w="0" w:type="auto"/>
            <w:vAlign w:val="center"/>
          </w:tcPr>
          <w:p w14:paraId="6E298D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 changes increasing project scope or requirements</w:t>
            </w:r>
          </w:p>
        </w:tc>
        <w:tc>
          <w:tcPr>
            <w:tcW w:w="0" w:type="auto"/>
            <w:vAlign w:val="center"/>
          </w:tcPr>
          <w:p w14:paraId="4FB2D0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6365A5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4D2853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CA1E2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 regulatory landscape continuously</w:t>
            </w:r>
          </w:p>
        </w:tc>
        <w:tc>
          <w:tcPr>
            <w:tcW w:w="0" w:type="auto"/>
            <w:vAlign w:val="center"/>
          </w:tcPr>
          <w:p w14:paraId="314037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Reassess scope and timeline; negotiate phased delivery</w:t>
            </w:r>
          </w:p>
        </w:tc>
        <w:tc>
          <w:tcPr>
            <w:tcW w:w="0" w:type="auto"/>
            <w:vAlign w:val="center"/>
          </w:tcPr>
          <w:p w14:paraId="58306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Officer</w:t>
            </w:r>
          </w:p>
        </w:tc>
      </w:tr>
      <w:tr w14:paraId="32EE57D4">
        <w:trPr>
          <w:tblCellSpacing w:w="15" w:type="dxa"/>
        </w:trPr>
        <w:tc>
          <w:tcPr>
            <w:tcW w:w="0" w:type="auto"/>
            <w:vAlign w:val="center"/>
          </w:tcPr>
          <w:p w14:paraId="5149A1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R5</w:t>
            </w:r>
          </w:p>
        </w:tc>
        <w:tc>
          <w:tcPr>
            <w:tcW w:w="0" w:type="auto"/>
            <w:vAlign w:val="center"/>
          </w:tcPr>
          <w:p w14:paraId="5C2D4E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 delays impacting custom development deliverables</w:t>
            </w:r>
          </w:p>
        </w:tc>
        <w:tc>
          <w:tcPr>
            <w:tcW w:w="0" w:type="auto"/>
            <w:vAlign w:val="center"/>
          </w:tcPr>
          <w:p w14:paraId="7F6196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BCE1D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6FF025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58A3A9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clear SLAs; conduct vendor performance reviews</w:t>
            </w:r>
          </w:p>
        </w:tc>
        <w:tc>
          <w:tcPr>
            <w:tcW w:w="0" w:type="auto"/>
            <w:vAlign w:val="center"/>
          </w:tcPr>
          <w:p w14:paraId="0D9585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Activate backup vendor resources or internal staff</w:t>
            </w:r>
          </w:p>
        </w:tc>
        <w:tc>
          <w:tcPr>
            <w:tcW w:w="0" w:type="auto"/>
            <w:vAlign w:val="center"/>
          </w:tcPr>
          <w:p w14:paraId="0340AC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 Manager</w:t>
            </w:r>
          </w:p>
        </w:tc>
      </w:tr>
      <w:tr w14:paraId="75EAB1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D206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R6</w:t>
            </w:r>
          </w:p>
        </w:tc>
        <w:tc>
          <w:tcPr>
            <w:tcW w:w="0" w:type="auto"/>
            <w:vAlign w:val="center"/>
          </w:tcPr>
          <w:p w14:paraId="12E9B5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vulnerabilities at integration points</w:t>
            </w:r>
          </w:p>
        </w:tc>
        <w:tc>
          <w:tcPr>
            <w:tcW w:w="0" w:type="auto"/>
            <w:vAlign w:val="center"/>
          </w:tcPr>
          <w:p w14:paraId="0D95B2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1BF88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139730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361A8B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 security assessments and penetration tests</w:t>
            </w:r>
          </w:p>
        </w:tc>
        <w:tc>
          <w:tcPr>
            <w:tcW w:w="0" w:type="auto"/>
            <w:vAlign w:val="center"/>
          </w:tcPr>
          <w:p w14:paraId="1435CF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patches and emergency fixes; conduct incident response</w:t>
            </w:r>
          </w:p>
        </w:tc>
        <w:tc>
          <w:tcPr>
            <w:tcW w:w="0" w:type="auto"/>
            <w:vAlign w:val="center"/>
          </w:tcPr>
          <w:p w14:paraId="00418B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Officer</w:t>
            </w:r>
          </w:p>
        </w:tc>
      </w:tr>
    </w:tbl>
    <w:p w14:paraId="2050F000">
      <w:pPr>
        <w:rPr>
          <w:rFonts w:ascii="Times New Roman" w:hAnsi="Times New Roman" w:cs="Times New Roman"/>
        </w:rPr>
      </w:pPr>
    </w:p>
    <w:p w14:paraId="1462AD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D. Risk Mitigation Strategies</w:t>
      </w:r>
    </w:p>
    <w:p w14:paraId="6A753C3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Early Stakeholder Engagement:</w:t>
      </w:r>
      <w:r>
        <w:rPr>
          <w:rFonts w:ascii="Times New Roman" w:hAnsi="Times New Roman" w:cs="Times New Roman"/>
        </w:rPr>
        <w:t xml:space="preserve"> Build collaboration with all key stakeholders to identify and resolve potential blockers early.</w:t>
      </w:r>
    </w:p>
    <w:p w14:paraId="68071FA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Phased Implementation:</w:t>
      </w:r>
      <w:r>
        <w:rPr>
          <w:rFonts w:ascii="Times New Roman" w:hAnsi="Times New Roman" w:cs="Times New Roman"/>
        </w:rPr>
        <w:t xml:space="preserve"> Use iterative rollouts to minimize impact of any one failure.</w:t>
      </w:r>
    </w:p>
    <w:p w14:paraId="64F7C21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Robust Testing:</w:t>
      </w:r>
      <w:r>
        <w:rPr>
          <w:rFonts w:ascii="Times New Roman" w:hAnsi="Times New Roman" w:cs="Times New Roman"/>
        </w:rPr>
        <w:t xml:space="preserve"> Extensive unit, integration, and UAT testing to uncover issues before production.</w:t>
      </w:r>
    </w:p>
    <w:p w14:paraId="7BB6124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Comprehensive Training:</w:t>
      </w:r>
      <w:r>
        <w:rPr>
          <w:rFonts w:ascii="Times New Roman" w:hAnsi="Times New Roman" w:cs="Times New Roman"/>
        </w:rPr>
        <w:t xml:space="preserve"> Prepare users to reduce resistance and errors.</w:t>
      </w:r>
    </w:p>
    <w:p w14:paraId="284DE572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Strict Change Control:</w:t>
      </w:r>
      <w:r>
        <w:rPr>
          <w:rFonts w:ascii="Times New Roman" w:hAnsi="Times New Roman" w:cs="Times New Roman"/>
        </w:rPr>
        <w:t xml:space="preserve"> Manage scope creep and unexpected requirements carefully.</w:t>
      </w:r>
    </w:p>
    <w:p w14:paraId="1398B4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E. Contingency Strategies</w:t>
      </w:r>
    </w:p>
    <w:p w14:paraId="5CD19A68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Fallback Plans:</w:t>
      </w:r>
      <w:r>
        <w:rPr>
          <w:rFonts w:ascii="Times New Roman" w:hAnsi="Times New Roman" w:cs="Times New Roman"/>
        </w:rPr>
        <w:t xml:space="preserve"> Maintain legacy systems operational during transition.</w:t>
      </w:r>
    </w:p>
    <w:p w14:paraId="68C4EF8F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Schedule Buffers:</w:t>
      </w:r>
      <w:r>
        <w:rPr>
          <w:rFonts w:ascii="Times New Roman" w:hAnsi="Times New Roman" w:cs="Times New Roman"/>
        </w:rPr>
        <w:t xml:space="preserve"> Include time reserves for high-risk activities.</w:t>
      </w:r>
    </w:p>
    <w:p w14:paraId="75E71876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Alternate Vendors:</w:t>
      </w:r>
      <w:r>
        <w:rPr>
          <w:rFonts w:ascii="Times New Roman" w:hAnsi="Times New Roman" w:cs="Times New Roman"/>
        </w:rPr>
        <w:t xml:space="preserve"> Pre-qualify secondary vendors for critical deliverables.</w:t>
      </w:r>
    </w:p>
    <w:p w14:paraId="1DE26FEA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Incident Response:</w:t>
      </w:r>
      <w:r>
        <w:rPr>
          <w:rFonts w:ascii="Times New Roman" w:hAnsi="Times New Roman" w:cs="Times New Roman"/>
        </w:rPr>
        <w:t xml:space="preserve"> Develop plans for data breaches or system outages.</w:t>
      </w:r>
    </w:p>
    <w:p w14:paraId="29EF5B1F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Escalation Procedures:</w:t>
      </w:r>
      <w:r>
        <w:rPr>
          <w:rFonts w:ascii="Times New Roman" w:hAnsi="Times New Roman" w:cs="Times New Roman"/>
        </w:rPr>
        <w:t xml:space="preserve"> Clear pathways for escalating risks to executive sponsors.</w:t>
      </w:r>
    </w:p>
    <w:p w14:paraId="69F413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F. Risk Communication</w:t>
      </w:r>
    </w:p>
    <w:p w14:paraId="268F4E72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Regular risk status updates in weekly project meetings.</w:t>
      </w:r>
    </w:p>
    <w:p w14:paraId="4F648F01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Risk dashboards accessible to all governance levels.</w:t>
      </w:r>
    </w:p>
    <w:p w14:paraId="2CA489DB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Immediate notification for critical or realized risks.</w:t>
      </w:r>
    </w:p>
    <w:p w14:paraId="5C688F0E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C07313"/>
    <w:multiLevelType w:val="multilevel"/>
    <w:tmpl w:val="00C073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C0338C"/>
    <w:multiLevelType w:val="multilevel"/>
    <w:tmpl w:val="11C033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8ED778F"/>
    <w:multiLevelType w:val="multilevel"/>
    <w:tmpl w:val="18ED77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0597996"/>
    <w:multiLevelType w:val="multilevel"/>
    <w:tmpl w:val="605979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270"/>
    <w:rsid w:val="00180A00"/>
    <w:rsid w:val="001B320E"/>
    <w:rsid w:val="0028578E"/>
    <w:rsid w:val="00331270"/>
    <w:rsid w:val="00A35684"/>
    <w:rsid w:val="00D22FF6"/>
    <w:rsid w:val="00DE38F6"/>
    <w:rsid w:val="1493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512</Words>
  <Characters>2924</Characters>
  <Lines>24</Lines>
  <Paragraphs>6</Paragraphs>
  <TotalTime>0</TotalTime>
  <ScaleCrop>false</ScaleCrop>
  <LinksUpToDate>false</LinksUpToDate>
  <CharactersWithSpaces>3430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2025-07-28T15:58:00Z</dcterms:created>
  <dc:creator>168236-Barbara Malei</dc:creator>
  <cp:lastModifiedBy>ADMIN</cp:lastModifiedBy>
  <dcterms:modified xsi:type="dcterms:W3CDTF">2025-11-09T12:29:12Z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2A0A34E836FB44F1B8012156DA47022B_12</vt:lpwstr>
  </property>
</Properties>
</file>