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799B" w:rsidRPr="008C799B" w:rsidRDefault="008C799B" w:rsidP="008C799B">
      <w:pPr>
        <w:rPr>
          <w:rFonts w:ascii="Times New Roman" w:hAnsi="Times New Roman" w:cs="Times New Roman"/>
        </w:rPr>
      </w:pPr>
    </w:p>
    <w:p w:rsidR="008C799B" w:rsidRPr="008C799B" w:rsidRDefault="008C799B" w:rsidP="008C799B">
      <w:pPr>
        <w:rPr>
          <w:rFonts w:ascii="Times New Roman" w:hAnsi="Times New Roman" w:cs="Times New Roman"/>
          <w:b/>
          <w:bCs/>
        </w:rPr>
      </w:pPr>
      <w:r w:rsidRPr="008C799B">
        <w:rPr>
          <w:rFonts w:ascii="Times New Roman" w:hAnsi="Times New Roman" w:cs="Times New Roman"/>
          <w:b/>
          <w:bCs/>
        </w:rPr>
        <w:t xml:space="preserve"> Formal Project Closure Report with KPI Performance Summary</w:t>
      </w:r>
    </w:p>
    <w:p w:rsidR="008C799B" w:rsidRPr="008C799B" w:rsidRDefault="008C799B" w:rsidP="008C799B">
      <w:pPr>
        <w:rPr>
          <w:rFonts w:ascii="Times New Roman" w:hAnsi="Times New Roman" w:cs="Times New Roman"/>
        </w:rPr>
      </w:pPr>
      <w:r w:rsidRPr="008C799B">
        <w:rPr>
          <w:rFonts w:ascii="Times New Roman" w:hAnsi="Times New Roman" w:cs="Times New Roman"/>
          <w:b/>
          <w:bCs/>
        </w:rPr>
        <w:t>Date</w:t>
      </w:r>
      <w:r w:rsidRPr="008C799B">
        <w:rPr>
          <w:rFonts w:ascii="Times New Roman" w:hAnsi="Times New Roman" w:cs="Times New Roman"/>
        </w:rPr>
        <w:t>: 26 July 2025</w:t>
      </w:r>
      <w:r w:rsidRPr="008C799B">
        <w:rPr>
          <w:rFonts w:ascii="Times New Roman" w:hAnsi="Times New Roman" w:cs="Times New Roman"/>
        </w:rPr>
        <w:br/>
      </w:r>
      <w:r w:rsidRPr="008C799B">
        <w:rPr>
          <w:rFonts w:ascii="Times New Roman" w:hAnsi="Times New Roman" w:cs="Times New Roman"/>
          <w:b/>
          <w:bCs/>
        </w:rPr>
        <w:t>Company</w:t>
      </w:r>
      <w:r w:rsidRPr="008C799B">
        <w:rPr>
          <w:rFonts w:ascii="Times New Roman" w:hAnsi="Times New Roman" w:cs="Times New Roman"/>
        </w:rPr>
        <w:t xml:space="preserve">: </w:t>
      </w:r>
      <w:proofErr w:type="spellStart"/>
      <w:r w:rsidRPr="008C799B">
        <w:rPr>
          <w:rFonts w:ascii="Times New Roman" w:hAnsi="Times New Roman" w:cs="Times New Roman"/>
        </w:rPr>
        <w:t>Atelco</w:t>
      </w:r>
      <w:proofErr w:type="spellEnd"/>
      <w:r w:rsidRPr="008C799B">
        <w:rPr>
          <w:rFonts w:ascii="Times New Roman" w:hAnsi="Times New Roman" w:cs="Times New Roman"/>
        </w:rPr>
        <w:t xml:space="preserve"> Net</w:t>
      </w:r>
      <w:r w:rsidRPr="008C799B">
        <w:rPr>
          <w:rFonts w:ascii="Times New Roman" w:hAnsi="Times New Roman" w:cs="Times New Roman"/>
        </w:rPr>
        <w:br/>
      </w:r>
      <w:r w:rsidRPr="008C799B">
        <w:rPr>
          <w:rFonts w:ascii="Times New Roman" w:hAnsi="Times New Roman" w:cs="Times New Roman"/>
          <w:b/>
          <w:bCs/>
        </w:rPr>
        <w:t>Project</w:t>
      </w:r>
      <w:r w:rsidRPr="008C799B">
        <w:rPr>
          <w:rFonts w:ascii="Times New Roman" w:hAnsi="Times New Roman" w:cs="Times New Roman"/>
        </w:rPr>
        <w:t>: Odoo ERP Implementation (CRM, Finance, Inventory, Billing)</w:t>
      </w:r>
    </w:p>
    <w:p w:rsidR="008C799B" w:rsidRPr="008C799B" w:rsidRDefault="008C799B" w:rsidP="008C799B">
      <w:pPr>
        <w:rPr>
          <w:rFonts w:ascii="Times New Roman" w:hAnsi="Times New Roman" w:cs="Times New Roman"/>
          <w:b/>
          <w:bCs/>
        </w:rPr>
      </w:pPr>
      <w:r w:rsidRPr="008C799B">
        <w:rPr>
          <w:rFonts w:ascii="Times New Roman" w:hAnsi="Times New Roman" w:cs="Times New Roman"/>
          <w:b/>
          <w:bCs/>
        </w:rPr>
        <w:t>Executive Summary</w:t>
      </w:r>
    </w:p>
    <w:p w:rsidR="008C799B" w:rsidRPr="008C799B" w:rsidRDefault="008C799B" w:rsidP="008C799B">
      <w:pPr>
        <w:rPr>
          <w:rFonts w:ascii="Times New Roman" w:hAnsi="Times New Roman" w:cs="Times New Roman"/>
        </w:rPr>
      </w:pPr>
      <w:r w:rsidRPr="008C799B">
        <w:rPr>
          <w:rFonts w:ascii="Times New Roman" w:hAnsi="Times New Roman" w:cs="Times New Roman"/>
        </w:rPr>
        <w:t xml:space="preserve">The Odoo ERP implementation at </w:t>
      </w:r>
      <w:proofErr w:type="spellStart"/>
      <w:r w:rsidRPr="008C799B">
        <w:rPr>
          <w:rFonts w:ascii="Times New Roman" w:hAnsi="Times New Roman" w:cs="Times New Roman"/>
        </w:rPr>
        <w:t>Atelco</w:t>
      </w:r>
      <w:proofErr w:type="spellEnd"/>
      <w:r w:rsidRPr="008C799B">
        <w:rPr>
          <w:rFonts w:ascii="Times New Roman" w:hAnsi="Times New Roman" w:cs="Times New Roman"/>
        </w:rPr>
        <w:t xml:space="preserve"> Net has been successfully completed within the planned timeline and budget. All modules were tested, deployed, and transitioned to operations. This closure report summarizes project KPIs, outcomes, and stakeholder sign-off.</w:t>
      </w:r>
    </w:p>
    <w:p w:rsidR="008C799B" w:rsidRPr="008C799B" w:rsidRDefault="008C799B" w:rsidP="008C799B">
      <w:pPr>
        <w:rPr>
          <w:rFonts w:ascii="Times New Roman" w:hAnsi="Times New Roman" w:cs="Times New Roman"/>
          <w:b/>
          <w:bCs/>
        </w:rPr>
      </w:pPr>
      <w:r w:rsidRPr="008C799B">
        <w:rPr>
          <w:rFonts w:ascii="Times New Roman" w:hAnsi="Times New Roman" w:cs="Times New Roman"/>
          <w:b/>
          <w:bCs/>
        </w:rPr>
        <w:t>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8"/>
        <w:gridCol w:w="974"/>
        <w:gridCol w:w="1154"/>
        <w:gridCol w:w="852"/>
      </w:tblGrid>
      <w:tr w:rsidR="008C799B" w:rsidRPr="008C799B" w:rsidTr="008C7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Achieved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8C799B" w:rsidRPr="008C799B" w:rsidTr="008C7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Project Completion Time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6 Months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5.5 Months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Segoe UI Emoji" w:hAnsi="Segoe UI Emoji" w:cs="Segoe UI Emoji"/>
              </w:rPr>
              <w:t>✅</w:t>
            </w:r>
            <w:r w:rsidRPr="008C799B">
              <w:rPr>
                <w:rFonts w:ascii="Times New Roman" w:hAnsi="Times New Roman" w:cs="Times New Roman"/>
              </w:rPr>
              <w:t xml:space="preserve"> Met</w:t>
            </w:r>
          </w:p>
        </w:tc>
      </w:tr>
      <w:tr w:rsidR="008C799B" w:rsidRPr="008C799B" w:rsidTr="008C7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Budget Adherence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±5%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+2.7%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Segoe UI Emoji" w:hAnsi="Segoe UI Emoji" w:cs="Segoe UI Emoji"/>
              </w:rPr>
              <w:t>✅</w:t>
            </w:r>
            <w:r w:rsidRPr="008C799B">
              <w:rPr>
                <w:rFonts w:ascii="Times New Roman" w:hAnsi="Times New Roman" w:cs="Times New Roman"/>
              </w:rPr>
              <w:t xml:space="preserve"> Met</w:t>
            </w:r>
          </w:p>
        </w:tc>
      </w:tr>
      <w:tr w:rsidR="008C799B" w:rsidRPr="008C799B" w:rsidTr="008C7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System Uptime (UAT &amp; Go-Live)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≥ 99.5%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99.9%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Segoe UI Emoji" w:hAnsi="Segoe UI Emoji" w:cs="Segoe UI Emoji"/>
              </w:rPr>
              <w:t>✅</w:t>
            </w:r>
            <w:r w:rsidRPr="008C799B">
              <w:rPr>
                <w:rFonts w:ascii="Times New Roman" w:hAnsi="Times New Roman" w:cs="Times New Roman"/>
              </w:rPr>
              <w:t xml:space="preserve"> Met</w:t>
            </w:r>
          </w:p>
        </w:tc>
      </w:tr>
      <w:tr w:rsidR="008C799B" w:rsidRPr="008C799B" w:rsidTr="008C7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Training Completion Rate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≥ 95%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98%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Segoe UI Emoji" w:hAnsi="Segoe UI Emoji" w:cs="Segoe UI Emoji"/>
              </w:rPr>
              <w:t>✅</w:t>
            </w:r>
            <w:r w:rsidRPr="008C799B">
              <w:rPr>
                <w:rFonts w:ascii="Times New Roman" w:hAnsi="Times New Roman" w:cs="Times New Roman"/>
              </w:rPr>
              <w:t xml:space="preserve"> Met</w:t>
            </w:r>
          </w:p>
        </w:tc>
      </w:tr>
      <w:tr w:rsidR="008C799B" w:rsidRPr="008C799B" w:rsidTr="008C7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Post-Go-Live Issue Resolution within SLA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94%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Segoe UI Emoji" w:hAnsi="Segoe UI Emoji" w:cs="Segoe UI Emoji"/>
              </w:rPr>
              <w:t>✅</w:t>
            </w:r>
            <w:r w:rsidRPr="008C799B">
              <w:rPr>
                <w:rFonts w:ascii="Times New Roman" w:hAnsi="Times New Roman" w:cs="Times New Roman"/>
              </w:rPr>
              <w:t xml:space="preserve"> Met</w:t>
            </w:r>
          </w:p>
        </w:tc>
      </w:tr>
      <w:tr w:rsidR="008C799B" w:rsidRPr="008C799B" w:rsidTr="008C7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Automation Rate (Manual → Odoo)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Segoe UI Emoji" w:hAnsi="Segoe UI Emoji" w:cs="Segoe UI Emoji"/>
              </w:rPr>
              <w:t>✅</w:t>
            </w:r>
            <w:r w:rsidRPr="008C799B">
              <w:rPr>
                <w:rFonts w:ascii="Times New Roman" w:hAnsi="Times New Roman" w:cs="Times New Roman"/>
              </w:rPr>
              <w:t xml:space="preserve"> Met</w:t>
            </w:r>
          </w:p>
        </w:tc>
      </w:tr>
      <w:tr w:rsidR="008C799B" w:rsidRPr="008C799B" w:rsidTr="008C79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User Adoption (Login Rate within 2 weeks)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96%</w:t>
            </w:r>
          </w:p>
        </w:tc>
        <w:tc>
          <w:tcPr>
            <w:tcW w:w="0" w:type="auto"/>
            <w:vAlign w:val="center"/>
            <w:hideMark/>
          </w:tcPr>
          <w:p w:rsidR="008C799B" w:rsidRPr="008C799B" w:rsidRDefault="008C799B" w:rsidP="008C799B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Segoe UI Emoji" w:hAnsi="Segoe UI Emoji" w:cs="Segoe UI Emoji"/>
              </w:rPr>
              <w:t>✅</w:t>
            </w:r>
            <w:r w:rsidRPr="008C799B">
              <w:rPr>
                <w:rFonts w:ascii="Times New Roman" w:hAnsi="Times New Roman" w:cs="Times New Roman"/>
              </w:rPr>
              <w:t xml:space="preserve"> Met</w:t>
            </w:r>
          </w:p>
        </w:tc>
      </w:tr>
    </w:tbl>
    <w:p w:rsidR="008C799B" w:rsidRPr="008C799B" w:rsidRDefault="008C799B" w:rsidP="008C799B">
      <w:pPr>
        <w:rPr>
          <w:rFonts w:ascii="Times New Roman" w:hAnsi="Times New Roman" w:cs="Times New Roman"/>
          <w:b/>
          <w:bCs/>
        </w:rPr>
      </w:pPr>
      <w:r w:rsidRPr="008C799B">
        <w:rPr>
          <w:rFonts w:ascii="Times New Roman" w:hAnsi="Times New Roman" w:cs="Times New Roman"/>
          <w:b/>
          <w:bCs/>
        </w:rPr>
        <w:t>Project Milestones Summary</w:t>
      </w:r>
    </w:p>
    <w:p w:rsidR="008C799B" w:rsidRPr="008C799B" w:rsidRDefault="008C799B" w:rsidP="008C79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799B">
        <w:rPr>
          <w:rFonts w:ascii="Times New Roman" w:hAnsi="Times New Roman" w:cs="Times New Roman"/>
        </w:rPr>
        <w:t xml:space="preserve">Requirements Finalization: </w:t>
      </w:r>
      <w:r w:rsidRPr="008C799B">
        <w:rPr>
          <w:rFonts w:ascii="Segoe UI Emoji" w:hAnsi="Segoe UI Emoji" w:cs="Segoe UI Emoji"/>
        </w:rPr>
        <w:t>✔️</w:t>
      </w:r>
      <w:r w:rsidRPr="008C799B">
        <w:rPr>
          <w:rFonts w:ascii="Times New Roman" w:hAnsi="Times New Roman" w:cs="Times New Roman"/>
        </w:rPr>
        <w:t xml:space="preserve"> Completed on 12 Feb 2025</w:t>
      </w:r>
    </w:p>
    <w:p w:rsidR="008C799B" w:rsidRPr="008C799B" w:rsidRDefault="008C799B" w:rsidP="008C79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799B">
        <w:rPr>
          <w:rFonts w:ascii="Times New Roman" w:hAnsi="Times New Roman" w:cs="Times New Roman"/>
        </w:rPr>
        <w:t xml:space="preserve">UAT Sign-Off: </w:t>
      </w:r>
      <w:r w:rsidRPr="008C799B">
        <w:rPr>
          <w:rFonts w:ascii="Segoe UI Emoji" w:hAnsi="Segoe UI Emoji" w:cs="Segoe UI Emoji"/>
        </w:rPr>
        <w:t>✔️</w:t>
      </w:r>
      <w:r w:rsidRPr="008C799B">
        <w:rPr>
          <w:rFonts w:ascii="Times New Roman" w:hAnsi="Times New Roman" w:cs="Times New Roman"/>
        </w:rPr>
        <w:t xml:space="preserve"> 30 May 2025</w:t>
      </w:r>
    </w:p>
    <w:p w:rsidR="008C799B" w:rsidRPr="008C799B" w:rsidRDefault="008C799B" w:rsidP="008C79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799B">
        <w:rPr>
          <w:rFonts w:ascii="Times New Roman" w:hAnsi="Times New Roman" w:cs="Times New Roman"/>
        </w:rPr>
        <w:t xml:space="preserve">Go-Live: </w:t>
      </w:r>
      <w:r w:rsidRPr="008C799B">
        <w:rPr>
          <w:rFonts w:ascii="Segoe UI Emoji" w:hAnsi="Segoe UI Emoji" w:cs="Segoe UI Emoji"/>
        </w:rPr>
        <w:t>✔️</w:t>
      </w:r>
      <w:r w:rsidRPr="008C799B">
        <w:rPr>
          <w:rFonts w:ascii="Times New Roman" w:hAnsi="Times New Roman" w:cs="Times New Roman"/>
        </w:rPr>
        <w:t xml:space="preserve"> 8 July 2025</w:t>
      </w:r>
    </w:p>
    <w:p w:rsidR="008C799B" w:rsidRPr="008C799B" w:rsidRDefault="008C799B" w:rsidP="008C79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799B">
        <w:rPr>
          <w:rFonts w:ascii="Times New Roman" w:hAnsi="Times New Roman" w:cs="Times New Roman"/>
        </w:rPr>
        <w:t xml:space="preserve">Handover to Operations: </w:t>
      </w:r>
      <w:r w:rsidRPr="008C799B">
        <w:rPr>
          <w:rFonts w:ascii="Segoe UI Emoji" w:hAnsi="Segoe UI Emoji" w:cs="Segoe UI Emoji"/>
        </w:rPr>
        <w:t>✔️</w:t>
      </w:r>
      <w:r w:rsidRPr="008C799B">
        <w:rPr>
          <w:rFonts w:ascii="Times New Roman" w:hAnsi="Times New Roman" w:cs="Times New Roman"/>
        </w:rPr>
        <w:t xml:space="preserve"> 20 July 2025</w:t>
      </w:r>
    </w:p>
    <w:p w:rsidR="008C799B" w:rsidRPr="008C799B" w:rsidRDefault="008C799B" w:rsidP="008C79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799B">
        <w:rPr>
          <w:rFonts w:ascii="Times New Roman" w:hAnsi="Times New Roman" w:cs="Times New Roman"/>
        </w:rPr>
        <w:t xml:space="preserve">Closure Approval: </w:t>
      </w:r>
      <w:r w:rsidRPr="008C799B">
        <w:rPr>
          <w:rFonts w:ascii="Segoe UI Emoji" w:hAnsi="Segoe UI Emoji" w:cs="Segoe UI Emoji"/>
        </w:rPr>
        <w:t>✔️</w:t>
      </w:r>
      <w:r w:rsidRPr="008C799B">
        <w:rPr>
          <w:rFonts w:ascii="Times New Roman" w:hAnsi="Times New Roman" w:cs="Times New Roman"/>
        </w:rPr>
        <w:t xml:space="preserve"> 26 July 2025</w:t>
      </w:r>
    </w:p>
    <w:p w:rsidR="008C799B" w:rsidRPr="008C799B" w:rsidRDefault="008C799B" w:rsidP="008C799B">
      <w:pPr>
        <w:rPr>
          <w:rFonts w:ascii="Times New Roman" w:hAnsi="Times New Roman" w:cs="Times New Roman"/>
          <w:b/>
          <w:bCs/>
        </w:rPr>
      </w:pPr>
      <w:r w:rsidRPr="008C799B">
        <w:rPr>
          <w:rFonts w:ascii="Segoe UI Emoji" w:hAnsi="Segoe UI Emoji" w:cs="Segoe UI Emoji"/>
          <w:b/>
          <w:bCs/>
        </w:rPr>
        <w:t>📋</w:t>
      </w:r>
      <w:r w:rsidRPr="008C799B">
        <w:rPr>
          <w:rFonts w:ascii="Times New Roman" w:hAnsi="Times New Roman" w:cs="Times New Roman"/>
          <w:b/>
          <w:bCs/>
        </w:rPr>
        <w:t xml:space="preserve"> Stakeholder Sign-Off</w:t>
      </w:r>
    </w:p>
    <w:p w:rsidR="008C799B" w:rsidRPr="008C799B" w:rsidRDefault="008C799B" w:rsidP="008C799B">
      <w:pPr>
        <w:rPr>
          <w:rFonts w:ascii="Times New Roman" w:hAnsi="Times New Roman" w:cs="Times New Roman"/>
        </w:rPr>
      </w:pPr>
      <w:r w:rsidRPr="008C799B">
        <w:rPr>
          <w:rFonts w:ascii="Times New Roman" w:hAnsi="Times New Roman" w:cs="Times New Roman"/>
        </w:rPr>
        <w:lastRenderedPageBreak/>
        <w:t>All department leads and the Project Steering Committee have formally accepted deliverables. Sign-off documents attached in Annex 2.</w:t>
      </w:r>
    </w:p>
    <w:sectPr w:rsidR="008C799B" w:rsidRPr="008C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85C"/>
    <w:multiLevelType w:val="multilevel"/>
    <w:tmpl w:val="072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85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9B"/>
    <w:rsid w:val="00180A00"/>
    <w:rsid w:val="0028578E"/>
    <w:rsid w:val="008C799B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A91B6-EFAE-4C78-BCF3-9DB5127C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2025-07-28T16:56:00Z</dcterms:created>
  <dcterms:modified xsi:type="dcterms:W3CDTF">2025-07-28T17:02:00Z</dcterms:modified>
</cp:coreProperties>
</file>