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4. High-Level Scope Statement and Boundaries</w:t>
      </w: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Project Title:</w:t>
      </w:r>
    </w:p>
    <w:p w:rsidR="00140FF0" w:rsidRPr="00140FF0" w:rsidRDefault="00140FF0" w:rsidP="00140FF0">
      <w:p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Odoo ERP Integration for Safaricom Telecom</w:t>
      </w: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1. Project Purpose</w:t>
      </w:r>
    </w:p>
    <w:p w:rsidR="00140FF0" w:rsidRPr="00140FF0" w:rsidRDefault="00140FF0" w:rsidP="00140FF0">
      <w:p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To implement and integrate a comprehensive Odoo ERP system tailored to Safaricom’s telecom operations. This system will unify billing, CRM, finance, procurement, and service management processes, and integrate seamlessly with existing OSS/BSS systems and the Mobile Money platform, thereby improving operational efficiency, data accuracy, and regulatory compliance.</w:t>
      </w: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2. High-Level Scope</w:t>
      </w: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In Scope:</w:t>
      </w:r>
    </w:p>
    <w:p w:rsidR="00140FF0" w:rsidRPr="00140FF0" w:rsidRDefault="00140FF0" w:rsidP="00140F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Odoo ERP Modules Implementation: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Billing and Revenue Management customized for telecom tariffs and usage data.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Customer Relationship Management (CRM) integrated with customer service and sales processes.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Finance and Accounting modules supporting telecom-specific financial reporting and regulatory compliance.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Inventory and Procurement modules tailored to telecom equipment lifecycle and vendor management.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Service Management module supporting fault management and service requests.</w:t>
      </w:r>
    </w:p>
    <w:p w:rsidR="00140FF0" w:rsidRPr="00140FF0" w:rsidRDefault="00140FF0" w:rsidP="00140F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System Integration: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Integration with OSS/BSS systems for real-time data exchange (e.g., network usage, provisioning).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Integration with Mobile Money platform (e.g., M-PESA) for payment processing and reconciliation.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API and Middleware development to ensure seamless communication between systems.</w:t>
      </w:r>
    </w:p>
    <w:p w:rsidR="00140FF0" w:rsidRPr="00140FF0" w:rsidRDefault="00140FF0" w:rsidP="00140F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Data Migration: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Migration of legacy system data including customer, financial, billing, and inventory records.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Data cleansing and validation to ensure data integrity post-migration.</w:t>
      </w:r>
    </w:p>
    <w:p w:rsidR="00140FF0" w:rsidRPr="00140FF0" w:rsidRDefault="00140FF0" w:rsidP="00140F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lastRenderedPageBreak/>
        <w:t>Testing and Quality Assurance: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Unit, integration, system, user acceptance, and performance testing across all modules and integrations.</w:t>
      </w:r>
    </w:p>
    <w:p w:rsidR="00140FF0" w:rsidRPr="00140FF0" w:rsidRDefault="00140FF0" w:rsidP="00140F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User Training and Change Management: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Training programs for business users, IT support staff, and administrators.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Change management activities to ensure smooth adoption of new processes and systems.</w:t>
      </w:r>
    </w:p>
    <w:p w:rsidR="00140FF0" w:rsidRPr="00140FF0" w:rsidRDefault="00140FF0" w:rsidP="00140F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Deployment and Support: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Phased rollout strategy minimizing disruption to live operations.</w:t>
      </w:r>
    </w:p>
    <w:p w:rsidR="00140FF0" w:rsidRPr="00140FF0" w:rsidRDefault="00140FF0" w:rsidP="00140F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Post-implementation support and stabilization period.</w:t>
      </w: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3. Project Boundaries / Out of Scope</w:t>
      </w:r>
    </w:p>
    <w:p w:rsidR="00140FF0" w:rsidRPr="00140FF0" w:rsidRDefault="00140FF0" w:rsidP="00140F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OSS/BSS System Development:</w:t>
      </w:r>
    </w:p>
    <w:p w:rsidR="00140FF0" w:rsidRPr="00140FF0" w:rsidRDefault="00140FF0" w:rsidP="00140F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No development or major modification of existing OSS/BSS platforms beyond required integration interfaces.</w:t>
      </w:r>
    </w:p>
    <w:p w:rsidR="00140FF0" w:rsidRPr="00140FF0" w:rsidRDefault="00140FF0" w:rsidP="00140F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Mobile Money Platform Development:</w:t>
      </w:r>
    </w:p>
    <w:p w:rsidR="00140FF0" w:rsidRPr="00140FF0" w:rsidRDefault="00140FF0" w:rsidP="00140F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Mobile Money platform core features and infrastructure remain managed by the Mobile Money business unit or third parties.</w:t>
      </w:r>
    </w:p>
    <w:p w:rsidR="00140FF0" w:rsidRPr="00140FF0" w:rsidRDefault="00140FF0" w:rsidP="00140F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Telecom Network Infrastructure:</w:t>
      </w:r>
    </w:p>
    <w:p w:rsidR="00140FF0" w:rsidRPr="00140FF0" w:rsidRDefault="00140FF0" w:rsidP="00140F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No changes or upgrades to network hardware or radio access network (RAN) elements outside ERP data reporting requirements.</w:t>
      </w:r>
    </w:p>
    <w:p w:rsidR="00140FF0" w:rsidRPr="00140FF0" w:rsidRDefault="00140FF0" w:rsidP="00140F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Hardware Procurement &amp; Infrastructure:</w:t>
      </w:r>
    </w:p>
    <w:p w:rsidR="00140FF0" w:rsidRPr="00140FF0" w:rsidRDefault="00140FF0" w:rsidP="00140F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No procurement or upgrades of physical IT infrastructure unless required specifically for ERP hosting.</w:t>
      </w:r>
    </w:p>
    <w:p w:rsidR="00140FF0" w:rsidRPr="00140FF0" w:rsidRDefault="00140FF0" w:rsidP="00140F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Custom Development Outside Odoo Framework:</w:t>
      </w:r>
    </w:p>
    <w:p w:rsidR="00140FF0" w:rsidRPr="00140FF0" w:rsidRDefault="00140FF0" w:rsidP="00140F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Custom development limited to integration and configuration within Odoo platform capabilities.</w:t>
      </w:r>
    </w:p>
    <w:p w:rsidR="00140FF0" w:rsidRPr="00140FF0" w:rsidRDefault="00140FF0" w:rsidP="00140F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  <w:b/>
          <w:bCs/>
        </w:rPr>
        <w:t>Post-Project Operational Enhancements:</w:t>
      </w:r>
    </w:p>
    <w:p w:rsidR="00140FF0" w:rsidRPr="00140FF0" w:rsidRDefault="00140FF0" w:rsidP="00140F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Ongoing improvements or feature additions beyond initial deployment will be handled as separate projects or maintenance activities.</w:t>
      </w:r>
    </w:p>
    <w:p w:rsidR="00140FF0" w:rsidRPr="00140FF0" w:rsidRDefault="00140FF0" w:rsidP="00140FF0">
      <w:pPr>
        <w:rPr>
          <w:rFonts w:ascii="Times New Roman" w:hAnsi="Times New Roman" w:cs="Times New Roman"/>
        </w:rPr>
      </w:pP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lastRenderedPageBreak/>
        <w:t>4. Assumptions</w:t>
      </w:r>
    </w:p>
    <w:p w:rsidR="00140FF0" w:rsidRPr="00140FF0" w:rsidRDefault="00140FF0" w:rsidP="00140F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Access to stable OSS/BSS and Mobile Money APIs will be provided in a timely manner.</w:t>
      </w:r>
    </w:p>
    <w:p w:rsidR="00140FF0" w:rsidRPr="00140FF0" w:rsidRDefault="00140FF0" w:rsidP="00140F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Business units will actively participate in requirements gathering and UAT.</w:t>
      </w:r>
    </w:p>
    <w:p w:rsidR="00140FF0" w:rsidRPr="00140FF0" w:rsidRDefault="00140FF0" w:rsidP="00140F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Regulatory requirements will not significantly change during the project lifecycle.</w:t>
      </w:r>
    </w:p>
    <w:p w:rsidR="00140FF0" w:rsidRPr="00140FF0" w:rsidRDefault="00140FF0" w:rsidP="00140F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Adequate resources and budget will be available throughout the project.</w:t>
      </w:r>
    </w:p>
    <w:p w:rsidR="00140FF0" w:rsidRPr="00140FF0" w:rsidRDefault="00140FF0" w:rsidP="00140FF0">
      <w:pPr>
        <w:rPr>
          <w:rFonts w:ascii="Times New Roman" w:hAnsi="Times New Roman" w:cs="Times New Roman"/>
        </w:rPr>
      </w:pPr>
    </w:p>
    <w:p w:rsidR="00140FF0" w:rsidRPr="00140FF0" w:rsidRDefault="00140FF0" w:rsidP="00140FF0">
      <w:pPr>
        <w:rPr>
          <w:rFonts w:ascii="Times New Roman" w:hAnsi="Times New Roman" w:cs="Times New Roman"/>
          <w:b/>
          <w:bCs/>
        </w:rPr>
      </w:pPr>
      <w:r w:rsidRPr="00140FF0">
        <w:rPr>
          <w:rFonts w:ascii="Times New Roman" w:hAnsi="Times New Roman" w:cs="Times New Roman"/>
          <w:b/>
          <w:bCs/>
        </w:rPr>
        <w:t>5. Constraints</w:t>
      </w:r>
    </w:p>
    <w:p w:rsidR="00140FF0" w:rsidRPr="00140FF0" w:rsidRDefault="00140FF0" w:rsidP="00140F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Limited system downtime windows during migration and rollout phases.</w:t>
      </w:r>
    </w:p>
    <w:p w:rsidR="00140FF0" w:rsidRPr="00140FF0" w:rsidRDefault="00140FF0" w:rsidP="00140F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Complexity of integrating multiple legacy systems with differing data formats.</w:t>
      </w:r>
    </w:p>
    <w:p w:rsidR="00140FF0" w:rsidRPr="00140FF0" w:rsidRDefault="00140FF0" w:rsidP="00140F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0FF0">
        <w:rPr>
          <w:rFonts w:ascii="Times New Roman" w:hAnsi="Times New Roman" w:cs="Times New Roman"/>
        </w:rPr>
        <w:t>Strict regulatory compliance and security requirements.</w:t>
      </w:r>
    </w:p>
    <w:p w:rsidR="00DE38F6" w:rsidRPr="00A017CA" w:rsidRDefault="00DE38F6">
      <w:pPr>
        <w:rPr>
          <w:rFonts w:ascii="Times New Roman" w:hAnsi="Times New Roman" w:cs="Times New Roman"/>
        </w:rPr>
      </w:pPr>
    </w:p>
    <w:sectPr w:rsidR="00DE38F6" w:rsidRPr="00A0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0A9"/>
    <w:multiLevelType w:val="multilevel"/>
    <w:tmpl w:val="E45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5201A"/>
    <w:multiLevelType w:val="multilevel"/>
    <w:tmpl w:val="6A6C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A69AC"/>
    <w:multiLevelType w:val="multilevel"/>
    <w:tmpl w:val="61F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81BD8"/>
    <w:multiLevelType w:val="multilevel"/>
    <w:tmpl w:val="D34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034418">
    <w:abstractNumId w:val="0"/>
  </w:num>
  <w:num w:numId="2" w16cid:durableId="909273169">
    <w:abstractNumId w:val="3"/>
  </w:num>
  <w:num w:numId="3" w16cid:durableId="309135409">
    <w:abstractNumId w:val="1"/>
  </w:num>
  <w:num w:numId="4" w16cid:durableId="105809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F0"/>
    <w:rsid w:val="00140FF0"/>
    <w:rsid w:val="00180A00"/>
    <w:rsid w:val="0028578E"/>
    <w:rsid w:val="00A017CA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4A84E-C371-4E6A-8456-EBCDDEA3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2025-07-28T15:05:00Z</dcterms:created>
  <dcterms:modified xsi:type="dcterms:W3CDTF">2025-07-28T15:07:00Z</dcterms:modified>
</cp:coreProperties>
</file>