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3. Stakeholder Register and Stakeholder Engagement Strategy</w:t>
      </w:r>
    </w:p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A. Stakeholder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1619"/>
        <w:gridCol w:w="1190"/>
        <w:gridCol w:w="941"/>
        <w:gridCol w:w="2035"/>
        <w:gridCol w:w="1697"/>
      </w:tblGrid>
      <w:tr w:rsidR="003E5373" w:rsidRPr="003E5373" w:rsidTr="003E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Role / Title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Influence / Impact Level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Interest Level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Engagement Approach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Key Concerns / Expectations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Executive Sponsor (e.g., CIO)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Direct communication, steering committee involvement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Project success, ROI, strategic alignment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Daily updates, status reporting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On-time delivery, resource coordination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Telecom Business Units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Billing, Finance, Customer Care Heads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Workshops, regular status meetings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System usability, process improvement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IT Infrastructure Team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IT Ops Manager, Network Engineers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Technical reviews, collaborative sessions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System integration, uptime, security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Odoo Implementation Partner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Lead Consultant / Vendor Team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Weekly progress meetings, technical workshops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Scope clarity, timely delivery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Mobile Money Team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Product Managers, Integration Leads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Integration status reviews, compliance checks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Seamless API integration, security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Regulatory Bodies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Telecom Regulator, Data Protection Officers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Formal reporting, audit reviews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Compliance with telecom and data laws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lastRenderedPageBreak/>
              <w:t>End Users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Finance staff, Customer Service Agents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Training sessions, feedback surveys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User-friendliness, training support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Support &amp; Maintenance Team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Service Desk Leads, Support Engineers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Handover workshops, documentation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Operational readiness, knowledge transfer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Vendors &amp; Third Parties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Middleware, API Providers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Contractual meetings, performance reviews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SLA adherence, integration quality</w:t>
            </w:r>
          </w:p>
        </w:tc>
      </w:tr>
    </w:tbl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B. Stakeholder Engagement Strategy</w:t>
      </w:r>
    </w:p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1. Identify &amp; Analyze Stakeholders</w:t>
      </w:r>
    </w:p>
    <w:p w:rsidR="003E5373" w:rsidRPr="003E5373" w:rsidRDefault="003E5373" w:rsidP="003E5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Conduct stakeholder mapping to classify by influence and interest.</w:t>
      </w:r>
    </w:p>
    <w:p w:rsidR="003E5373" w:rsidRPr="003E5373" w:rsidRDefault="003E5373" w:rsidP="003E53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Prioritize communication and engagement based on impact on project success.</w:t>
      </w:r>
    </w:p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2. Define Communication Channels &amp; Frequency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573"/>
        <w:gridCol w:w="2282"/>
        <w:gridCol w:w="2845"/>
      </w:tblGrid>
      <w:tr w:rsidR="003E5373" w:rsidRPr="003E5373" w:rsidTr="003E5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Stakeholder Group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Communication Method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  <w:b/>
                <w:bCs/>
              </w:rPr>
            </w:pPr>
            <w:r w:rsidRPr="003E5373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Executive Sponsor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Steering Committee Meetings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Strategic oversight, decisions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Daily Stand-ups, Reports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Daily / Weekly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Task tracking, risk &amp; issue management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Business Units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Workshops, Status Meetings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Requirement clarification, progress updates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IT &amp; Vendors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Technical Review Sessions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Integration issues, technical problem-solving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Regulatory Bodies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Formal Reports, Compliance Audits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As required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Regulatory compliance and approvals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lastRenderedPageBreak/>
              <w:t>End Users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Training, Feedback Surveys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 xml:space="preserve">During &amp; </w:t>
            </w:r>
            <w:proofErr w:type="gramStart"/>
            <w:r w:rsidRPr="003E5373">
              <w:rPr>
                <w:rFonts w:ascii="Times New Roman" w:hAnsi="Times New Roman" w:cs="Times New Roman"/>
              </w:rPr>
              <w:t>Post-Implementation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Adoption support, usability improvements</w:t>
            </w:r>
          </w:p>
        </w:tc>
      </w:tr>
      <w:tr w:rsidR="003E5373" w:rsidRPr="003E5373" w:rsidTr="003E5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Support Teams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Knowledge Transfer Sessions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Before Go-Live</w:t>
            </w:r>
          </w:p>
        </w:tc>
        <w:tc>
          <w:tcPr>
            <w:tcW w:w="0" w:type="auto"/>
            <w:vAlign w:val="center"/>
            <w:hideMark/>
          </w:tcPr>
          <w:p w:rsidR="003E5373" w:rsidRPr="003E5373" w:rsidRDefault="003E5373" w:rsidP="003E5373">
            <w:pPr>
              <w:rPr>
                <w:rFonts w:ascii="Times New Roman" w:hAnsi="Times New Roman" w:cs="Times New Roman"/>
              </w:rPr>
            </w:pPr>
            <w:r w:rsidRPr="003E5373">
              <w:rPr>
                <w:rFonts w:ascii="Times New Roman" w:hAnsi="Times New Roman" w:cs="Times New Roman"/>
              </w:rPr>
              <w:t>Smooth operational handover</w:t>
            </w:r>
          </w:p>
        </w:tc>
      </w:tr>
    </w:tbl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3. Manage Expectations</w:t>
      </w:r>
    </w:p>
    <w:p w:rsidR="003E5373" w:rsidRPr="003E5373" w:rsidRDefault="003E5373" w:rsidP="003E5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Set realistic timelines and communicate constraints clearly.</w:t>
      </w:r>
    </w:p>
    <w:p w:rsidR="003E5373" w:rsidRPr="003E5373" w:rsidRDefault="003E5373" w:rsidP="003E5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Provide transparent updates on progress and challenges.</w:t>
      </w:r>
    </w:p>
    <w:p w:rsidR="003E5373" w:rsidRPr="003E5373" w:rsidRDefault="003E5373" w:rsidP="003E53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Highlight benefits and impact regularly to maintain engagement.</w:t>
      </w:r>
    </w:p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4. Engage &amp; Involve Stakeholders Actively</w:t>
      </w:r>
    </w:p>
    <w:p w:rsidR="003E5373" w:rsidRPr="003E5373" w:rsidRDefault="003E5373" w:rsidP="003E53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Involve business units in requirements gathering and UAT.</w:t>
      </w:r>
    </w:p>
    <w:p w:rsidR="003E5373" w:rsidRPr="003E5373" w:rsidRDefault="003E5373" w:rsidP="003E53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Collaborate closely with IT and vendors to resolve technical issues promptly.</w:t>
      </w:r>
    </w:p>
    <w:p w:rsidR="003E5373" w:rsidRPr="003E5373" w:rsidRDefault="003E5373" w:rsidP="003E53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Maintain open channels for feedback and act on input to improve adoption.</w:t>
      </w:r>
    </w:p>
    <w:p w:rsidR="003E5373" w:rsidRPr="003E5373" w:rsidRDefault="003E5373" w:rsidP="003E5373">
      <w:pPr>
        <w:rPr>
          <w:rFonts w:ascii="Times New Roman" w:hAnsi="Times New Roman" w:cs="Times New Roman"/>
          <w:b/>
          <w:bCs/>
        </w:rPr>
      </w:pPr>
      <w:r w:rsidRPr="003E5373">
        <w:rPr>
          <w:rFonts w:ascii="Times New Roman" w:hAnsi="Times New Roman" w:cs="Times New Roman"/>
          <w:b/>
          <w:bCs/>
        </w:rPr>
        <w:t>5. Monitor &amp; Adjust Engagement</w:t>
      </w:r>
    </w:p>
    <w:p w:rsidR="003E5373" w:rsidRPr="003E5373" w:rsidRDefault="003E5373" w:rsidP="003E53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Regularly review stakeholder feedback and adjust communication plans as needed.</w:t>
      </w:r>
    </w:p>
    <w:p w:rsidR="003E5373" w:rsidRPr="003E5373" w:rsidRDefault="003E5373" w:rsidP="003E537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E5373">
        <w:rPr>
          <w:rFonts w:ascii="Times New Roman" w:hAnsi="Times New Roman" w:cs="Times New Roman"/>
        </w:rPr>
        <w:t>Address resistance by identifying concerns and providing additional support or training.</w:t>
      </w:r>
    </w:p>
    <w:p w:rsidR="00DE38F6" w:rsidRPr="003E5373" w:rsidRDefault="00DE38F6">
      <w:pPr>
        <w:rPr>
          <w:rFonts w:ascii="Times New Roman" w:hAnsi="Times New Roman" w:cs="Times New Roman"/>
        </w:rPr>
      </w:pPr>
    </w:p>
    <w:sectPr w:rsidR="00DE38F6" w:rsidRPr="003E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275F9"/>
    <w:multiLevelType w:val="multilevel"/>
    <w:tmpl w:val="455C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67651"/>
    <w:multiLevelType w:val="multilevel"/>
    <w:tmpl w:val="9B9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D759B"/>
    <w:multiLevelType w:val="multilevel"/>
    <w:tmpl w:val="133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54E36"/>
    <w:multiLevelType w:val="multilevel"/>
    <w:tmpl w:val="7B88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655612">
    <w:abstractNumId w:val="3"/>
  </w:num>
  <w:num w:numId="2" w16cid:durableId="1769157162">
    <w:abstractNumId w:val="0"/>
  </w:num>
  <w:num w:numId="3" w16cid:durableId="1048382823">
    <w:abstractNumId w:val="1"/>
  </w:num>
  <w:num w:numId="4" w16cid:durableId="81418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73"/>
    <w:rsid w:val="00180A00"/>
    <w:rsid w:val="0028578E"/>
    <w:rsid w:val="003E5373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60032-250A-4F6A-8896-387D7E78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3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3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3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3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2025-07-28T15:03:00Z</dcterms:created>
  <dcterms:modified xsi:type="dcterms:W3CDTF">2025-07-28T15:04:00Z</dcterms:modified>
</cp:coreProperties>
</file>