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274B" w:rsidRPr="006D5AD9" w:rsidRDefault="00EF274B" w:rsidP="00EF274B">
      <w:pPr>
        <w:rPr>
          <w:b/>
          <w:bCs/>
        </w:rPr>
      </w:pPr>
      <w:r w:rsidRPr="006D5AD9">
        <w:rPr>
          <w:b/>
          <w:bCs/>
        </w:rPr>
        <w:t>Project Financial Closure Report</w:t>
      </w:r>
    </w:p>
    <w:p w:rsidR="00EF274B" w:rsidRPr="006D5AD9" w:rsidRDefault="00EF274B" w:rsidP="00EF274B">
      <w:r w:rsidRPr="006D5AD9">
        <w:rPr>
          <w:b/>
          <w:bCs/>
        </w:rPr>
        <w:t>Purpose</w:t>
      </w:r>
      <w:r w:rsidRPr="006D5AD9">
        <w:t>: Summarize all financial transactions and validate ROI against budget projections.</w:t>
      </w:r>
    </w:p>
    <w:p w:rsidR="00EF274B" w:rsidRPr="006D5AD9" w:rsidRDefault="00EF274B" w:rsidP="00EF274B">
      <w:r w:rsidRPr="006D5AD9">
        <w:rPr>
          <w:b/>
          <w:bCs/>
        </w:rPr>
        <w:t>Sections</w:t>
      </w:r>
      <w:r w:rsidRPr="006D5AD9">
        <w:t>:</w:t>
      </w:r>
    </w:p>
    <w:p w:rsidR="00EF274B" w:rsidRPr="006D5AD9" w:rsidRDefault="00EF274B" w:rsidP="00EF274B">
      <w:pPr>
        <w:numPr>
          <w:ilvl w:val="0"/>
          <w:numId w:val="1"/>
        </w:numPr>
      </w:pPr>
      <w:r w:rsidRPr="006D5AD9">
        <w:rPr>
          <w:b/>
          <w:bCs/>
        </w:rPr>
        <w:t>Budget Summary</w:t>
      </w:r>
      <w:r w:rsidRPr="006D5AD9">
        <w:t>:</w:t>
      </w:r>
    </w:p>
    <w:p w:rsidR="00EF274B" w:rsidRPr="006D5AD9" w:rsidRDefault="00EF274B" w:rsidP="00EF274B">
      <w:pPr>
        <w:numPr>
          <w:ilvl w:val="1"/>
          <w:numId w:val="1"/>
        </w:numPr>
      </w:pPr>
      <w:r w:rsidRPr="006D5AD9">
        <w:t>Approved Budget: KES 145M</w:t>
      </w:r>
    </w:p>
    <w:p w:rsidR="00EF274B" w:rsidRPr="006D5AD9" w:rsidRDefault="00EF274B" w:rsidP="00EF274B">
      <w:pPr>
        <w:numPr>
          <w:ilvl w:val="1"/>
          <w:numId w:val="1"/>
        </w:numPr>
      </w:pPr>
      <w:r w:rsidRPr="006D5AD9">
        <w:t>Actual Spend: KES 141.8M</w:t>
      </w:r>
    </w:p>
    <w:p w:rsidR="00EF274B" w:rsidRPr="006D5AD9" w:rsidRDefault="00EF274B" w:rsidP="00EF274B">
      <w:pPr>
        <w:numPr>
          <w:ilvl w:val="1"/>
          <w:numId w:val="1"/>
        </w:numPr>
      </w:pPr>
      <w:r w:rsidRPr="006D5AD9">
        <w:rPr>
          <w:b/>
          <w:bCs/>
        </w:rPr>
        <w:t>Cost Variance</w:t>
      </w:r>
      <w:r w:rsidRPr="006D5AD9">
        <w:t>: –KES 3.2M (under budget by 2.2%)</w:t>
      </w:r>
    </w:p>
    <w:p w:rsidR="00EF274B" w:rsidRPr="006D5AD9" w:rsidRDefault="00EF274B" w:rsidP="00EF274B">
      <w:pPr>
        <w:numPr>
          <w:ilvl w:val="0"/>
          <w:numId w:val="1"/>
        </w:numPr>
      </w:pPr>
      <w:r w:rsidRPr="006D5AD9">
        <w:rPr>
          <w:b/>
          <w:bCs/>
        </w:rPr>
        <w:t>Category Breakdown</w:t>
      </w:r>
      <w:r w:rsidRPr="006D5AD9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013"/>
        <w:gridCol w:w="696"/>
        <w:gridCol w:w="935"/>
      </w:tblGrid>
      <w:tr w:rsidR="00EF274B" w:rsidRPr="006D5AD9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Expense Category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Budgeted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Variance</w:t>
            </w:r>
          </w:p>
        </w:tc>
      </w:tr>
      <w:tr w:rsidR="00EF274B" w:rsidRPr="006D5AD9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AI Tooling Licenses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18M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16.9M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–1.1M</w:t>
            </w:r>
          </w:p>
        </w:tc>
      </w:tr>
      <w:tr w:rsidR="00EF274B" w:rsidRPr="006D5AD9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Cloud Infrastructure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25M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24.8M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–0.2M</w:t>
            </w:r>
          </w:p>
        </w:tc>
      </w:tr>
      <w:tr w:rsidR="00EF274B" w:rsidRPr="006D5AD9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Field Technicians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30M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29.5M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–0.5M</w:t>
            </w:r>
          </w:p>
        </w:tc>
      </w:tr>
      <w:tr w:rsidR="00EF274B" w:rsidRPr="006D5AD9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Training &amp; Capacity Building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5M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5.4M</w:t>
            </w:r>
          </w:p>
        </w:tc>
        <w:tc>
          <w:tcPr>
            <w:tcW w:w="0" w:type="auto"/>
            <w:vAlign w:val="center"/>
            <w:hideMark/>
          </w:tcPr>
          <w:p w:rsidR="00EF274B" w:rsidRPr="006D5AD9" w:rsidRDefault="00EF274B" w:rsidP="00481596">
            <w:r w:rsidRPr="006D5AD9">
              <w:t>+0.4M</w:t>
            </w:r>
          </w:p>
        </w:tc>
      </w:tr>
    </w:tbl>
    <w:p w:rsidR="00EF274B" w:rsidRPr="006D5AD9" w:rsidRDefault="00EF274B" w:rsidP="00EF274B">
      <w:pPr>
        <w:numPr>
          <w:ilvl w:val="0"/>
          <w:numId w:val="1"/>
        </w:numPr>
      </w:pPr>
      <w:r w:rsidRPr="006D5AD9">
        <w:rPr>
          <w:b/>
          <w:bCs/>
        </w:rPr>
        <w:t>ROI Analysis</w:t>
      </w:r>
      <w:r w:rsidRPr="006D5AD9">
        <w:t>:</w:t>
      </w:r>
    </w:p>
    <w:p w:rsidR="00EF274B" w:rsidRPr="006D5AD9" w:rsidRDefault="00EF274B" w:rsidP="00EF274B">
      <w:pPr>
        <w:numPr>
          <w:ilvl w:val="1"/>
          <w:numId w:val="1"/>
        </w:numPr>
      </w:pPr>
      <w:r w:rsidRPr="006D5AD9">
        <w:rPr>
          <w:b/>
          <w:bCs/>
        </w:rPr>
        <w:t>Revenue Increase Attributed to Optimization</w:t>
      </w:r>
      <w:r w:rsidRPr="006D5AD9">
        <w:t>: KES 48M (via increased data usage and subscriber retention)</w:t>
      </w:r>
    </w:p>
    <w:p w:rsidR="00EF274B" w:rsidRPr="006D5AD9" w:rsidRDefault="00EF274B" w:rsidP="00EF274B">
      <w:pPr>
        <w:numPr>
          <w:ilvl w:val="1"/>
          <w:numId w:val="1"/>
        </w:numPr>
      </w:pPr>
      <w:r w:rsidRPr="006D5AD9">
        <w:rPr>
          <w:b/>
          <w:bCs/>
        </w:rPr>
        <w:t>ROI</w:t>
      </w:r>
      <w:r w:rsidRPr="006D5AD9">
        <w:t>: 33.9%</w:t>
      </w:r>
    </w:p>
    <w:p w:rsidR="00EF274B" w:rsidRPr="006D5AD9" w:rsidRDefault="00EF274B" w:rsidP="00EF274B">
      <w:r w:rsidRPr="006D5AD9">
        <w:rPr>
          <w:b/>
          <w:bCs/>
        </w:rPr>
        <w:t>Format</w:t>
      </w:r>
      <w:r w:rsidRPr="006D5AD9">
        <w:t>: PDF report + Excel workbook with all tracked transactions</w:t>
      </w:r>
    </w:p>
    <w:p w:rsidR="00EF274B" w:rsidRPr="006D5AD9" w:rsidRDefault="00EF274B" w:rsidP="00EF274B"/>
    <w:sectPr w:rsidR="00EF274B" w:rsidRPr="006D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1775A"/>
    <w:multiLevelType w:val="multilevel"/>
    <w:tmpl w:val="F8C4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D7722"/>
    <w:multiLevelType w:val="multilevel"/>
    <w:tmpl w:val="517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0893">
    <w:abstractNumId w:val="0"/>
  </w:num>
  <w:num w:numId="2" w16cid:durableId="1932853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4B"/>
    <w:rsid w:val="00180A00"/>
    <w:rsid w:val="00284989"/>
    <w:rsid w:val="0028578E"/>
    <w:rsid w:val="00D22FF6"/>
    <w:rsid w:val="00DE38F6"/>
    <w:rsid w:val="00E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0E415-4599-4370-B479-5E94E09A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B"/>
  </w:style>
  <w:style w:type="paragraph" w:styleId="Heading1">
    <w:name w:val="heading 1"/>
    <w:basedOn w:val="Normal"/>
    <w:next w:val="Normal"/>
    <w:link w:val="Heading1Char"/>
    <w:uiPriority w:val="9"/>
    <w:qFormat/>
    <w:rsid w:val="00EF2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2025-07-30T07:30:00Z</dcterms:created>
  <dcterms:modified xsi:type="dcterms:W3CDTF">2025-07-30T07:31:00Z</dcterms:modified>
</cp:coreProperties>
</file>