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65998" w:rsidRPr="00A65998" w:rsidRDefault="00A65998" w:rsidP="00A65998">
      <w:pPr>
        <w:rPr>
          <w:b/>
          <w:bCs/>
        </w:rPr>
      </w:pPr>
      <w:r w:rsidRPr="00A65998">
        <w:rPr>
          <w:b/>
          <w:bCs/>
        </w:rPr>
        <w:t xml:space="preserve"> Stakeholder Requirements Traceability Matrix (RTM)</w:t>
      </w:r>
    </w:p>
    <w:p w:rsidR="00A65998" w:rsidRPr="00A65998" w:rsidRDefault="00A65998" w:rsidP="00A65998">
      <w:r w:rsidRPr="00A65998">
        <w:rPr>
          <w:b/>
          <w:bCs/>
        </w:rPr>
        <w:t>Title:</w:t>
      </w:r>
      <w:r w:rsidRPr="00A65998">
        <w:t xml:space="preserve"> </w:t>
      </w:r>
      <w:r w:rsidRPr="00A65998">
        <w:rPr>
          <w:i/>
          <w:iCs/>
        </w:rPr>
        <w:t>End-to-End Stakeholder Requirements Traceability Matrix for 5G Optimization</w:t>
      </w:r>
    </w:p>
    <w:p w:rsidR="00A65998" w:rsidRPr="00A65998" w:rsidRDefault="00A65998" w:rsidP="00A65998">
      <w:r w:rsidRPr="00A65998">
        <w:rPr>
          <w:b/>
          <w:bCs/>
        </w:rPr>
        <w:t>Purpose:</w:t>
      </w:r>
      <w:r w:rsidRPr="00A65998">
        <w:br/>
        <w:t>To ensure all stakeholder business needs are captured, validated, and directly mapped to technical features, configurations, and performance objectives. This promotes accountability, reduces scope creep, and aligns deployment priorities with strategic goals.</w:t>
      </w:r>
    </w:p>
    <w:p w:rsidR="00A65998" w:rsidRPr="00A65998" w:rsidRDefault="00A65998" w:rsidP="00A65998">
      <w:r w:rsidRPr="00A65998">
        <w:rPr>
          <w:b/>
          <w:bCs/>
        </w:rPr>
        <w:t>Structure of the RTM: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9"/>
        <w:gridCol w:w="1664"/>
        <w:gridCol w:w="1625"/>
        <w:gridCol w:w="1663"/>
        <w:gridCol w:w="1922"/>
        <w:gridCol w:w="1157"/>
      </w:tblGrid>
      <w:tr w:rsidR="00A65998" w:rsidRPr="00A65998" w:rsidTr="00A65998">
        <w:trPr>
          <w:tblHeader/>
          <w:tblCellSpacing w:w="15" w:type="dxa"/>
        </w:trPr>
        <w:tc>
          <w:tcPr>
            <w:tcW w:w="0" w:type="auto"/>
            <w:vAlign w:val="center"/>
            <w:hideMark/>
          </w:tcPr>
          <w:p w:rsidR="00A65998" w:rsidRPr="00A65998" w:rsidRDefault="00A65998" w:rsidP="00A65998">
            <w:pPr>
              <w:rPr>
                <w:b/>
                <w:bCs/>
              </w:rPr>
            </w:pPr>
            <w:r w:rsidRPr="00A65998">
              <w:rPr>
                <w:b/>
                <w:bCs/>
              </w:rPr>
              <w:t>Stakeholder</w:t>
            </w:r>
          </w:p>
        </w:tc>
        <w:tc>
          <w:tcPr>
            <w:tcW w:w="0" w:type="auto"/>
            <w:vAlign w:val="center"/>
            <w:hideMark/>
          </w:tcPr>
          <w:p w:rsidR="00A65998" w:rsidRPr="00A65998" w:rsidRDefault="00A65998" w:rsidP="00A65998">
            <w:pPr>
              <w:rPr>
                <w:b/>
                <w:bCs/>
              </w:rPr>
            </w:pPr>
            <w:r w:rsidRPr="00A65998">
              <w:rPr>
                <w:b/>
                <w:bCs/>
              </w:rPr>
              <w:t>Business Requirement</w:t>
            </w:r>
          </w:p>
        </w:tc>
        <w:tc>
          <w:tcPr>
            <w:tcW w:w="0" w:type="auto"/>
            <w:vAlign w:val="center"/>
            <w:hideMark/>
          </w:tcPr>
          <w:p w:rsidR="00A65998" w:rsidRPr="00A65998" w:rsidRDefault="00A65998" w:rsidP="00A65998">
            <w:pPr>
              <w:rPr>
                <w:b/>
                <w:bCs/>
              </w:rPr>
            </w:pPr>
            <w:r w:rsidRPr="00A65998">
              <w:rPr>
                <w:b/>
                <w:bCs/>
              </w:rPr>
              <w:t>Derived Functional Requirement</w:t>
            </w:r>
          </w:p>
        </w:tc>
        <w:tc>
          <w:tcPr>
            <w:tcW w:w="0" w:type="auto"/>
            <w:vAlign w:val="center"/>
            <w:hideMark/>
          </w:tcPr>
          <w:p w:rsidR="00A65998" w:rsidRPr="00A65998" w:rsidRDefault="00A65998" w:rsidP="00A65998">
            <w:pPr>
              <w:rPr>
                <w:b/>
                <w:bCs/>
              </w:rPr>
            </w:pPr>
            <w:r w:rsidRPr="00A65998">
              <w:rPr>
                <w:b/>
                <w:bCs/>
              </w:rPr>
              <w:t>Mapped Technical Spec/Feature</w:t>
            </w:r>
          </w:p>
        </w:tc>
        <w:tc>
          <w:tcPr>
            <w:tcW w:w="0" w:type="auto"/>
            <w:vAlign w:val="center"/>
            <w:hideMark/>
          </w:tcPr>
          <w:p w:rsidR="00A65998" w:rsidRPr="00A65998" w:rsidRDefault="00A65998" w:rsidP="00A65998">
            <w:pPr>
              <w:rPr>
                <w:b/>
                <w:bCs/>
              </w:rPr>
            </w:pPr>
            <w:r w:rsidRPr="00A65998">
              <w:rPr>
                <w:b/>
                <w:bCs/>
              </w:rPr>
              <w:t>Test/Verification Method</w:t>
            </w:r>
          </w:p>
        </w:tc>
        <w:tc>
          <w:tcPr>
            <w:tcW w:w="0" w:type="auto"/>
            <w:vAlign w:val="center"/>
            <w:hideMark/>
          </w:tcPr>
          <w:p w:rsidR="00A65998" w:rsidRPr="00A65998" w:rsidRDefault="00A65998" w:rsidP="00A65998">
            <w:pPr>
              <w:rPr>
                <w:b/>
                <w:bCs/>
              </w:rPr>
            </w:pPr>
            <w:r w:rsidRPr="00A65998">
              <w:rPr>
                <w:b/>
                <w:bCs/>
              </w:rPr>
              <w:t>Status</w:t>
            </w:r>
          </w:p>
        </w:tc>
      </w:tr>
      <w:tr w:rsidR="00A65998" w:rsidRPr="00A65998" w:rsidTr="00A65998">
        <w:trPr>
          <w:tblCellSpacing w:w="15" w:type="dxa"/>
        </w:trPr>
        <w:tc>
          <w:tcPr>
            <w:tcW w:w="0" w:type="auto"/>
            <w:vAlign w:val="center"/>
            <w:hideMark/>
          </w:tcPr>
          <w:p w:rsidR="00A65998" w:rsidRPr="00A65998" w:rsidRDefault="00A65998" w:rsidP="00A65998">
            <w:r w:rsidRPr="00A65998">
              <w:t>CTO</w:t>
            </w:r>
          </w:p>
        </w:tc>
        <w:tc>
          <w:tcPr>
            <w:tcW w:w="0" w:type="auto"/>
            <w:vAlign w:val="center"/>
            <w:hideMark/>
          </w:tcPr>
          <w:p w:rsidR="00A65998" w:rsidRPr="00A65998" w:rsidRDefault="00A65998" w:rsidP="00A65998">
            <w:r w:rsidRPr="00A65998">
              <w:t>Reduce core latency by 30%</w:t>
            </w:r>
          </w:p>
        </w:tc>
        <w:tc>
          <w:tcPr>
            <w:tcW w:w="0" w:type="auto"/>
            <w:vAlign w:val="center"/>
            <w:hideMark/>
          </w:tcPr>
          <w:p w:rsidR="00A65998" w:rsidRPr="00A65998" w:rsidRDefault="00A65998" w:rsidP="00A65998">
            <w:r w:rsidRPr="00A65998">
              <w:t>Enable MEC integration at metro sites</w:t>
            </w:r>
          </w:p>
        </w:tc>
        <w:tc>
          <w:tcPr>
            <w:tcW w:w="0" w:type="auto"/>
            <w:vAlign w:val="center"/>
            <w:hideMark/>
          </w:tcPr>
          <w:p w:rsidR="00A65998" w:rsidRPr="00A65998" w:rsidRDefault="00A65998" w:rsidP="00A65998">
            <w:r w:rsidRPr="00A65998">
              <w:t>Deployment of MEC nodes with &lt;10ms RTT to RAN</w:t>
            </w:r>
          </w:p>
        </w:tc>
        <w:tc>
          <w:tcPr>
            <w:tcW w:w="0" w:type="auto"/>
            <w:vAlign w:val="center"/>
            <w:hideMark/>
          </w:tcPr>
          <w:p w:rsidR="00A65998" w:rsidRPr="00A65998" w:rsidRDefault="00A65998" w:rsidP="00A65998">
            <w:r w:rsidRPr="00A65998">
              <w:t>Ping/RTT benchmarks; MEC API latency profiling</w:t>
            </w:r>
          </w:p>
        </w:tc>
        <w:tc>
          <w:tcPr>
            <w:tcW w:w="0" w:type="auto"/>
            <w:vAlign w:val="center"/>
            <w:hideMark/>
          </w:tcPr>
          <w:p w:rsidR="00A65998" w:rsidRPr="00A65998" w:rsidRDefault="00A65998" w:rsidP="00A65998">
            <w:r w:rsidRPr="00A65998">
              <w:t>In Progress</w:t>
            </w:r>
          </w:p>
        </w:tc>
      </w:tr>
      <w:tr w:rsidR="00A65998" w:rsidRPr="00A65998" w:rsidTr="00A65998">
        <w:trPr>
          <w:tblCellSpacing w:w="15" w:type="dxa"/>
        </w:trPr>
        <w:tc>
          <w:tcPr>
            <w:tcW w:w="0" w:type="auto"/>
            <w:vAlign w:val="center"/>
            <w:hideMark/>
          </w:tcPr>
          <w:p w:rsidR="00A65998" w:rsidRPr="00A65998" w:rsidRDefault="00A65998" w:rsidP="00A65998">
            <w:r w:rsidRPr="00A65998">
              <w:t>Network Ops Head</w:t>
            </w:r>
          </w:p>
        </w:tc>
        <w:tc>
          <w:tcPr>
            <w:tcW w:w="0" w:type="auto"/>
            <w:vAlign w:val="center"/>
            <w:hideMark/>
          </w:tcPr>
          <w:p w:rsidR="00A65998" w:rsidRPr="00A65998" w:rsidRDefault="00A65998" w:rsidP="00A65998">
            <w:r w:rsidRPr="00A65998">
              <w:t xml:space="preserve">Improve urban video call </w:t>
            </w:r>
            <w:proofErr w:type="spellStart"/>
            <w:r w:rsidRPr="00A65998">
              <w:t>QoE</w:t>
            </w:r>
            <w:proofErr w:type="spellEnd"/>
          </w:p>
        </w:tc>
        <w:tc>
          <w:tcPr>
            <w:tcW w:w="0" w:type="auto"/>
            <w:vAlign w:val="center"/>
            <w:hideMark/>
          </w:tcPr>
          <w:p w:rsidR="00A65998" w:rsidRPr="00A65998" w:rsidRDefault="00A65998" w:rsidP="00A65998">
            <w:r w:rsidRPr="00A65998">
              <w:t>Reduce packet jitter and call drops</w:t>
            </w:r>
          </w:p>
        </w:tc>
        <w:tc>
          <w:tcPr>
            <w:tcW w:w="0" w:type="auto"/>
            <w:vAlign w:val="center"/>
            <w:hideMark/>
          </w:tcPr>
          <w:p w:rsidR="00A65998" w:rsidRPr="00A65998" w:rsidRDefault="00A65998" w:rsidP="00A65998">
            <w:r w:rsidRPr="00A65998">
              <w:t xml:space="preserve">Implement dynamic QoS slicing, </w:t>
            </w:r>
            <w:proofErr w:type="spellStart"/>
            <w:r w:rsidRPr="00A65998">
              <w:t>QoE</w:t>
            </w:r>
            <w:proofErr w:type="spellEnd"/>
            <w:r w:rsidRPr="00A65998">
              <w:t xml:space="preserve"> monitoring</w:t>
            </w:r>
          </w:p>
        </w:tc>
        <w:tc>
          <w:tcPr>
            <w:tcW w:w="0" w:type="auto"/>
            <w:vAlign w:val="center"/>
            <w:hideMark/>
          </w:tcPr>
          <w:p w:rsidR="00A65998" w:rsidRPr="00A65998" w:rsidRDefault="00A65998" w:rsidP="00A65998">
            <w:proofErr w:type="spellStart"/>
            <w:r w:rsidRPr="00A65998">
              <w:t>QoE</w:t>
            </w:r>
            <w:proofErr w:type="spellEnd"/>
            <w:r w:rsidRPr="00A65998">
              <w:t xml:space="preserve"> dashboards; SLA thresholds; end-user surveys</w:t>
            </w:r>
          </w:p>
        </w:tc>
        <w:tc>
          <w:tcPr>
            <w:tcW w:w="0" w:type="auto"/>
            <w:vAlign w:val="center"/>
            <w:hideMark/>
          </w:tcPr>
          <w:p w:rsidR="00A65998" w:rsidRPr="00A65998" w:rsidRDefault="00A65998" w:rsidP="00A65998">
            <w:r w:rsidRPr="00A65998">
              <w:t>Planned</w:t>
            </w:r>
          </w:p>
        </w:tc>
      </w:tr>
      <w:tr w:rsidR="00A65998" w:rsidRPr="00A65998" w:rsidTr="00A65998">
        <w:trPr>
          <w:tblCellSpacing w:w="15" w:type="dxa"/>
        </w:trPr>
        <w:tc>
          <w:tcPr>
            <w:tcW w:w="0" w:type="auto"/>
            <w:vAlign w:val="center"/>
            <w:hideMark/>
          </w:tcPr>
          <w:p w:rsidR="00A65998" w:rsidRPr="00A65998" w:rsidRDefault="00A65998" w:rsidP="00A65998">
            <w:r w:rsidRPr="00A65998">
              <w:t>Regulatory Manager</w:t>
            </w:r>
          </w:p>
        </w:tc>
        <w:tc>
          <w:tcPr>
            <w:tcW w:w="0" w:type="auto"/>
            <w:vAlign w:val="center"/>
            <w:hideMark/>
          </w:tcPr>
          <w:p w:rsidR="00A65998" w:rsidRPr="00A65998" w:rsidRDefault="00A65998" w:rsidP="00A65998">
            <w:r w:rsidRPr="00A65998">
              <w:t>Ensure compliance with CAK &amp; GSMA 5G security standards</w:t>
            </w:r>
          </w:p>
        </w:tc>
        <w:tc>
          <w:tcPr>
            <w:tcW w:w="0" w:type="auto"/>
            <w:vAlign w:val="center"/>
            <w:hideMark/>
          </w:tcPr>
          <w:p w:rsidR="00A65998" w:rsidRPr="00A65998" w:rsidRDefault="00A65998" w:rsidP="00A65998">
            <w:r w:rsidRPr="00A65998">
              <w:t>Enforce SIM traceability, lawful interception readiness</w:t>
            </w:r>
          </w:p>
        </w:tc>
        <w:tc>
          <w:tcPr>
            <w:tcW w:w="0" w:type="auto"/>
            <w:vAlign w:val="center"/>
            <w:hideMark/>
          </w:tcPr>
          <w:p w:rsidR="00A65998" w:rsidRPr="00A65998" w:rsidRDefault="00A65998" w:rsidP="00A65998">
            <w:r w:rsidRPr="00A65998">
              <w:t>Integration of LIMS; enhanced SIM registration policies</w:t>
            </w:r>
          </w:p>
        </w:tc>
        <w:tc>
          <w:tcPr>
            <w:tcW w:w="0" w:type="auto"/>
            <w:vAlign w:val="center"/>
            <w:hideMark/>
          </w:tcPr>
          <w:p w:rsidR="00A65998" w:rsidRPr="00A65998" w:rsidRDefault="00A65998" w:rsidP="00A65998">
            <w:r w:rsidRPr="00A65998">
              <w:t>Compliance audit checklist; trace logs</w:t>
            </w:r>
          </w:p>
        </w:tc>
        <w:tc>
          <w:tcPr>
            <w:tcW w:w="0" w:type="auto"/>
            <w:vAlign w:val="center"/>
            <w:hideMark/>
          </w:tcPr>
          <w:p w:rsidR="00A65998" w:rsidRPr="00A65998" w:rsidRDefault="00A65998" w:rsidP="00A65998">
            <w:r w:rsidRPr="00A65998">
              <w:t>Completed</w:t>
            </w:r>
          </w:p>
        </w:tc>
      </w:tr>
      <w:tr w:rsidR="00A65998" w:rsidRPr="00A65998" w:rsidTr="00A65998">
        <w:trPr>
          <w:tblCellSpacing w:w="15" w:type="dxa"/>
        </w:trPr>
        <w:tc>
          <w:tcPr>
            <w:tcW w:w="0" w:type="auto"/>
            <w:vAlign w:val="center"/>
            <w:hideMark/>
          </w:tcPr>
          <w:p w:rsidR="00A65998" w:rsidRPr="00A65998" w:rsidRDefault="00A65998" w:rsidP="00A65998">
            <w:r w:rsidRPr="00A65998">
              <w:t>CFO</w:t>
            </w:r>
          </w:p>
        </w:tc>
        <w:tc>
          <w:tcPr>
            <w:tcW w:w="0" w:type="auto"/>
            <w:vAlign w:val="center"/>
            <w:hideMark/>
          </w:tcPr>
          <w:p w:rsidR="00A65998" w:rsidRPr="00A65998" w:rsidRDefault="00A65998" w:rsidP="00A65998">
            <w:r w:rsidRPr="00A65998">
              <w:t>Minimize per-site operational expenditure by 20%</w:t>
            </w:r>
          </w:p>
        </w:tc>
        <w:tc>
          <w:tcPr>
            <w:tcW w:w="0" w:type="auto"/>
            <w:vAlign w:val="center"/>
            <w:hideMark/>
          </w:tcPr>
          <w:p w:rsidR="00A65998" w:rsidRPr="00A65998" w:rsidRDefault="00A65998" w:rsidP="00A65998">
            <w:r w:rsidRPr="00A65998">
              <w:t>Optimize energy and spectrum usage</w:t>
            </w:r>
          </w:p>
        </w:tc>
        <w:tc>
          <w:tcPr>
            <w:tcW w:w="0" w:type="auto"/>
            <w:vAlign w:val="center"/>
            <w:hideMark/>
          </w:tcPr>
          <w:p w:rsidR="00A65998" w:rsidRPr="00A65998" w:rsidRDefault="00A65998" w:rsidP="00A65998">
            <w:r w:rsidRPr="00A65998">
              <w:t>AI-based RAN power saving mode; spectrum re-farming</w:t>
            </w:r>
          </w:p>
        </w:tc>
        <w:tc>
          <w:tcPr>
            <w:tcW w:w="0" w:type="auto"/>
            <w:vAlign w:val="center"/>
            <w:hideMark/>
          </w:tcPr>
          <w:p w:rsidR="00A65998" w:rsidRPr="00A65998" w:rsidRDefault="00A65998" w:rsidP="00A65998">
            <w:r w:rsidRPr="00A65998">
              <w:t>Energy profiling tools; spectrum audit reports</w:t>
            </w:r>
          </w:p>
        </w:tc>
        <w:tc>
          <w:tcPr>
            <w:tcW w:w="0" w:type="auto"/>
            <w:vAlign w:val="center"/>
            <w:hideMark/>
          </w:tcPr>
          <w:p w:rsidR="00A65998" w:rsidRPr="00A65998" w:rsidRDefault="00A65998" w:rsidP="00A65998">
            <w:r w:rsidRPr="00A65998">
              <w:t>In Progress</w:t>
            </w:r>
          </w:p>
        </w:tc>
      </w:tr>
      <w:tr w:rsidR="00A65998" w:rsidRPr="00A65998" w:rsidTr="00A65998">
        <w:trPr>
          <w:tblCellSpacing w:w="15" w:type="dxa"/>
        </w:trPr>
        <w:tc>
          <w:tcPr>
            <w:tcW w:w="0" w:type="auto"/>
            <w:vAlign w:val="center"/>
            <w:hideMark/>
          </w:tcPr>
          <w:p w:rsidR="00A65998" w:rsidRPr="00A65998" w:rsidRDefault="00A65998" w:rsidP="00A65998">
            <w:r w:rsidRPr="00A65998">
              <w:t>Enterprise Customers</w:t>
            </w:r>
          </w:p>
        </w:tc>
        <w:tc>
          <w:tcPr>
            <w:tcW w:w="0" w:type="auto"/>
            <w:vAlign w:val="center"/>
            <w:hideMark/>
          </w:tcPr>
          <w:p w:rsidR="00A65998" w:rsidRPr="00A65998" w:rsidRDefault="00A65998" w:rsidP="00A65998">
            <w:r w:rsidRPr="00A65998">
              <w:t>Guaranteed 5G slice with SLA</w:t>
            </w:r>
          </w:p>
        </w:tc>
        <w:tc>
          <w:tcPr>
            <w:tcW w:w="0" w:type="auto"/>
            <w:vAlign w:val="center"/>
            <w:hideMark/>
          </w:tcPr>
          <w:p w:rsidR="00A65998" w:rsidRPr="00A65998" w:rsidRDefault="00A65998" w:rsidP="00A65998">
            <w:r w:rsidRPr="00A65998">
              <w:t>Dedicated slice for premium enterprise users</w:t>
            </w:r>
          </w:p>
        </w:tc>
        <w:tc>
          <w:tcPr>
            <w:tcW w:w="0" w:type="auto"/>
            <w:vAlign w:val="center"/>
            <w:hideMark/>
          </w:tcPr>
          <w:p w:rsidR="00A65998" w:rsidRPr="00A65998" w:rsidRDefault="00A65998" w:rsidP="00A65998">
            <w:r w:rsidRPr="00A65998">
              <w:t>Slice isolation, API-enabled network control</w:t>
            </w:r>
          </w:p>
        </w:tc>
        <w:tc>
          <w:tcPr>
            <w:tcW w:w="0" w:type="auto"/>
            <w:vAlign w:val="center"/>
            <w:hideMark/>
          </w:tcPr>
          <w:p w:rsidR="00A65998" w:rsidRPr="00A65998" w:rsidRDefault="00A65998" w:rsidP="00A65998">
            <w:r w:rsidRPr="00A65998">
              <w:t>SLA reports; simulation tests; enterprise feedback</w:t>
            </w:r>
          </w:p>
        </w:tc>
        <w:tc>
          <w:tcPr>
            <w:tcW w:w="0" w:type="auto"/>
            <w:vAlign w:val="center"/>
            <w:hideMark/>
          </w:tcPr>
          <w:p w:rsidR="00A65998" w:rsidRPr="00A65998" w:rsidRDefault="00A65998" w:rsidP="00A65998">
            <w:r w:rsidRPr="00A65998">
              <w:t>UAT Ongoing</w:t>
            </w:r>
          </w:p>
        </w:tc>
      </w:tr>
    </w:tbl>
    <w:p w:rsidR="00A65998" w:rsidRPr="00A65998" w:rsidRDefault="00A65998" w:rsidP="00A65998">
      <w:r w:rsidRPr="00A65998">
        <w:rPr>
          <w:b/>
          <w:bCs/>
        </w:rPr>
        <w:lastRenderedPageBreak/>
        <w:t>Tools Used:</w:t>
      </w:r>
    </w:p>
    <w:p w:rsidR="00A65998" w:rsidRPr="00A65998" w:rsidRDefault="00A65998" w:rsidP="00A65998">
      <w:pPr>
        <w:numPr>
          <w:ilvl w:val="0"/>
          <w:numId w:val="1"/>
        </w:numPr>
      </w:pPr>
      <w:r w:rsidRPr="00A65998">
        <w:t>Jira (for requirement tracking)</w:t>
      </w:r>
    </w:p>
    <w:p w:rsidR="00A65998" w:rsidRPr="00A65998" w:rsidRDefault="00A65998" w:rsidP="00A65998">
      <w:pPr>
        <w:numPr>
          <w:ilvl w:val="0"/>
          <w:numId w:val="1"/>
        </w:numPr>
      </w:pPr>
      <w:r w:rsidRPr="00A65998">
        <w:t>DOORS Next Generation or Excel-based RTM sheets</w:t>
      </w:r>
    </w:p>
    <w:p w:rsidR="00A65998" w:rsidRPr="00A65998" w:rsidRDefault="00A65998" w:rsidP="00A65998">
      <w:pPr>
        <w:numPr>
          <w:ilvl w:val="0"/>
          <w:numId w:val="1"/>
        </w:numPr>
      </w:pPr>
      <w:r w:rsidRPr="00A65998">
        <w:t>Zephyr for test case traceability</w:t>
      </w:r>
    </w:p>
    <w:p w:rsidR="00A65998" w:rsidRPr="00A65998" w:rsidRDefault="00A65998" w:rsidP="00A65998">
      <w:pPr>
        <w:numPr>
          <w:ilvl w:val="0"/>
          <w:numId w:val="1"/>
        </w:numPr>
      </w:pPr>
      <w:r w:rsidRPr="00A65998">
        <w:t>Automated sync with CI/CD pipeline (GitLab/Jenkins)</w:t>
      </w:r>
    </w:p>
    <w:sectPr w:rsidR="00A65998" w:rsidRPr="00A65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3A56F8"/>
    <w:multiLevelType w:val="multilevel"/>
    <w:tmpl w:val="4836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AF7E98"/>
    <w:multiLevelType w:val="multilevel"/>
    <w:tmpl w:val="B99E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E256A4"/>
    <w:multiLevelType w:val="multilevel"/>
    <w:tmpl w:val="50FC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225781">
    <w:abstractNumId w:val="1"/>
  </w:num>
  <w:num w:numId="2" w16cid:durableId="1262033145">
    <w:abstractNumId w:val="0"/>
  </w:num>
  <w:num w:numId="3" w16cid:durableId="8476695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998"/>
    <w:rsid w:val="00180A00"/>
    <w:rsid w:val="00284989"/>
    <w:rsid w:val="0028578E"/>
    <w:rsid w:val="00A65998"/>
    <w:rsid w:val="00D22FF6"/>
    <w:rsid w:val="00DE3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5A8BF"/>
  <w15:chartTrackingRefBased/>
  <w15:docId w15:val="{09ABE661-F779-4954-A3BC-8E15796EF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9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59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59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59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59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59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9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9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9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9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59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59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59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59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5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998"/>
    <w:rPr>
      <w:rFonts w:eastAsiaTheme="majorEastAsia" w:cstheme="majorBidi"/>
      <w:color w:val="272727" w:themeColor="text1" w:themeTint="D8"/>
    </w:rPr>
  </w:style>
  <w:style w:type="paragraph" w:styleId="Title">
    <w:name w:val="Title"/>
    <w:basedOn w:val="Normal"/>
    <w:next w:val="Normal"/>
    <w:link w:val="TitleChar"/>
    <w:uiPriority w:val="10"/>
    <w:qFormat/>
    <w:rsid w:val="00A65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998"/>
    <w:pPr>
      <w:spacing w:before="160"/>
      <w:jc w:val="center"/>
    </w:pPr>
    <w:rPr>
      <w:i/>
      <w:iCs/>
      <w:color w:val="404040" w:themeColor="text1" w:themeTint="BF"/>
    </w:rPr>
  </w:style>
  <w:style w:type="character" w:customStyle="1" w:styleId="QuoteChar">
    <w:name w:val="Quote Char"/>
    <w:basedOn w:val="DefaultParagraphFont"/>
    <w:link w:val="Quote"/>
    <w:uiPriority w:val="29"/>
    <w:rsid w:val="00A65998"/>
    <w:rPr>
      <w:i/>
      <w:iCs/>
      <w:color w:val="404040" w:themeColor="text1" w:themeTint="BF"/>
    </w:rPr>
  </w:style>
  <w:style w:type="paragraph" w:styleId="ListParagraph">
    <w:name w:val="List Paragraph"/>
    <w:basedOn w:val="Normal"/>
    <w:uiPriority w:val="34"/>
    <w:qFormat/>
    <w:rsid w:val="00A65998"/>
    <w:pPr>
      <w:ind w:left="720"/>
      <w:contextualSpacing/>
    </w:pPr>
  </w:style>
  <w:style w:type="character" w:styleId="IntenseEmphasis">
    <w:name w:val="Intense Emphasis"/>
    <w:basedOn w:val="DefaultParagraphFont"/>
    <w:uiPriority w:val="21"/>
    <w:qFormat/>
    <w:rsid w:val="00A65998"/>
    <w:rPr>
      <w:i/>
      <w:iCs/>
      <w:color w:val="2F5496" w:themeColor="accent1" w:themeShade="BF"/>
    </w:rPr>
  </w:style>
  <w:style w:type="paragraph" w:styleId="IntenseQuote">
    <w:name w:val="Intense Quote"/>
    <w:basedOn w:val="Normal"/>
    <w:next w:val="Normal"/>
    <w:link w:val="IntenseQuoteChar"/>
    <w:uiPriority w:val="30"/>
    <w:qFormat/>
    <w:rsid w:val="00A659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5998"/>
    <w:rPr>
      <w:i/>
      <w:iCs/>
      <w:color w:val="2F5496" w:themeColor="accent1" w:themeShade="BF"/>
    </w:rPr>
  </w:style>
  <w:style w:type="character" w:styleId="IntenseReference">
    <w:name w:val="Intense Reference"/>
    <w:basedOn w:val="DefaultParagraphFont"/>
    <w:uiPriority w:val="32"/>
    <w:qFormat/>
    <w:rsid w:val="00A659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3728815">
      <w:bodyDiv w:val="1"/>
      <w:marLeft w:val="0"/>
      <w:marRight w:val="0"/>
      <w:marTop w:val="0"/>
      <w:marBottom w:val="0"/>
      <w:divBdr>
        <w:top w:val="none" w:sz="0" w:space="0" w:color="auto"/>
        <w:left w:val="none" w:sz="0" w:space="0" w:color="auto"/>
        <w:bottom w:val="none" w:sz="0" w:space="0" w:color="auto"/>
        <w:right w:val="none" w:sz="0" w:space="0" w:color="auto"/>
      </w:divBdr>
    </w:div>
    <w:div w:id="90233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258</Words>
  <Characters>1474</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168236-Barbara Malei</dc:creator>
  <cp:keywords/>
  <dc:description/>
  <cp:lastModifiedBy>168236-Barbara Malei</cp:lastModifiedBy>
  <cp:revision>1</cp:revision>
  <dcterms:created xsi:type="dcterms:W3CDTF">2025-07-30T06:19:00Z</dcterms:created>
  <dcterms:modified xsi:type="dcterms:W3CDTF">2025-07-30T06:23:00Z</dcterms:modified>
</cp:coreProperties>
</file>