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35153">
      <w:pPr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</w:p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EFF44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High-Level Network Pain Point Assessment Report</w:t>
      </w:r>
    </w:p>
    <w:p w14:paraId="7B0178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Project Title:</w:t>
      </w:r>
    </w:p>
    <w:p w14:paraId="5C899A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 5G Network Optimization – Pain Point Assessment Report</w:t>
      </w:r>
    </w:p>
    <w:p w14:paraId="498767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Prepared By:</w:t>
      </w:r>
    </w:p>
    <w:p w14:paraId="64306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 Network Engineering &amp; Performance Team</w:t>
      </w:r>
    </w:p>
    <w:p w14:paraId="47E279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Executive Summary</w:t>
      </w:r>
    </w:p>
    <w:p w14:paraId="712A2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report outlines major technical and operational bottlenecks affecting current 5G network performance across urban, peri-urban, and rural zones. It uses multi-source data (OSS, drive tests, customer complaints, and NOC logs) to isolate critical areas for optimization.</w:t>
      </w:r>
    </w:p>
    <w:p w14:paraId="70F1647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Key Findings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2617"/>
        <w:gridCol w:w="1893"/>
        <w:gridCol w:w="900"/>
        <w:gridCol w:w="2311"/>
      </w:tblGrid>
      <w:tr w14:paraId="52617466">
        <w:trPr>
          <w:tblHeader/>
          <w:tblCellSpacing w:w="15" w:type="dxa"/>
        </w:trPr>
        <w:tc>
          <w:tcPr>
            <w:tcW w:w="0" w:type="auto"/>
            <w:vAlign w:val="center"/>
          </w:tcPr>
          <w:p w14:paraId="37CDDDD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</w:tcPr>
          <w:p w14:paraId="71F0AA6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A76567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</w:tcPr>
          <w:p w14:paraId="1FECDB2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</w:tcPr>
          <w:p w14:paraId="0A5CBEF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Root Cause</w:t>
            </w:r>
          </w:p>
        </w:tc>
      </w:tr>
      <w:tr w14:paraId="50C51F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E77C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Interference Zones</w:t>
            </w:r>
          </w:p>
        </w:tc>
        <w:tc>
          <w:tcPr>
            <w:tcW w:w="0" w:type="auto"/>
            <w:vAlign w:val="center"/>
          </w:tcPr>
          <w:p w14:paraId="1CE117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PRB utilization &amp; SINR degradation in urban sites</w:t>
            </w:r>
          </w:p>
        </w:tc>
        <w:tc>
          <w:tcPr>
            <w:tcW w:w="0" w:type="auto"/>
            <w:vAlign w:val="center"/>
          </w:tcPr>
          <w:p w14:paraId="31FBC0A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Dropped calls, slow speeds</w:t>
            </w:r>
          </w:p>
        </w:tc>
        <w:tc>
          <w:tcPr>
            <w:tcW w:w="0" w:type="auto"/>
            <w:vAlign w:val="center"/>
          </w:tcPr>
          <w:p w14:paraId="65E9FD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</w:tcPr>
          <w:p w14:paraId="3D2844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Dense deployments, sub-optimal antenna tilt</w:t>
            </w:r>
          </w:p>
        </w:tc>
      </w:tr>
      <w:tr w14:paraId="7AEF80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AC57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Mobility Failures</w:t>
            </w:r>
          </w:p>
        </w:tc>
        <w:tc>
          <w:tcPr>
            <w:tcW w:w="0" w:type="auto"/>
            <w:vAlign w:val="center"/>
          </w:tcPr>
          <w:p w14:paraId="18CF72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Handover failures &gt;5% in cluster B</w:t>
            </w:r>
          </w:p>
        </w:tc>
        <w:tc>
          <w:tcPr>
            <w:tcW w:w="0" w:type="auto"/>
            <w:vAlign w:val="center"/>
          </w:tcPr>
          <w:p w14:paraId="58C5F8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Video freeze, VoNR failure</w:t>
            </w:r>
          </w:p>
        </w:tc>
        <w:tc>
          <w:tcPr>
            <w:tcW w:w="0" w:type="auto"/>
            <w:vAlign w:val="center"/>
          </w:tcPr>
          <w:p w14:paraId="36794D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BA832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Poor neighbor list optimization</w:t>
            </w:r>
          </w:p>
        </w:tc>
      </w:tr>
      <w:tr w14:paraId="33AE2A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738D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Energy Inefficiency</w:t>
            </w:r>
          </w:p>
        </w:tc>
        <w:tc>
          <w:tcPr>
            <w:tcW w:w="0" w:type="auto"/>
            <w:vAlign w:val="center"/>
          </w:tcPr>
          <w:p w14:paraId="7F6F84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Sites consume 18% more than planned</w:t>
            </w:r>
          </w:p>
        </w:tc>
        <w:tc>
          <w:tcPr>
            <w:tcW w:w="0" w:type="auto"/>
            <w:vAlign w:val="center"/>
          </w:tcPr>
          <w:p w14:paraId="5BB923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OPEX, ESG non-compliance</w:t>
            </w:r>
          </w:p>
        </w:tc>
        <w:tc>
          <w:tcPr>
            <w:tcW w:w="0" w:type="auto"/>
            <w:vAlign w:val="center"/>
          </w:tcPr>
          <w:p w14:paraId="3AF0E9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6CE3C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Outdated sleep mode policies</w:t>
            </w:r>
          </w:p>
        </w:tc>
      </w:tr>
      <w:tr w14:paraId="76BE4B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AC46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Backhaul Congestion</w:t>
            </w:r>
          </w:p>
        </w:tc>
        <w:tc>
          <w:tcPr>
            <w:tcW w:w="0" w:type="auto"/>
            <w:vAlign w:val="center"/>
          </w:tcPr>
          <w:p w14:paraId="0DEE10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latency during peak hours</w:t>
            </w:r>
          </w:p>
        </w:tc>
        <w:tc>
          <w:tcPr>
            <w:tcW w:w="0" w:type="auto"/>
            <w:vAlign w:val="center"/>
          </w:tcPr>
          <w:p w14:paraId="0EE788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Streaming &amp; gaming degradation</w:t>
            </w:r>
          </w:p>
        </w:tc>
        <w:tc>
          <w:tcPr>
            <w:tcW w:w="0" w:type="auto"/>
            <w:vAlign w:val="center"/>
          </w:tcPr>
          <w:p w14:paraId="18F805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915D7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Limited midhaul capacity</w:t>
            </w:r>
          </w:p>
        </w:tc>
      </w:tr>
      <w:tr w14:paraId="674A4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ABE4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AI/SON Misalignment</w:t>
            </w:r>
          </w:p>
        </w:tc>
        <w:tc>
          <w:tcPr>
            <w:tcW w:w="0" w:type="auto"/>
            <w:vAlign w:val="center"/>
          </w:tcPr>
          <w:p w14:paraId="01F3F4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Conflicting parameter changes from legacy SON tool</w:t>
            </w:r>
          </w:p>
        </w:tc>
        <w:tc>
          <w:tcPr>
            <w:tcW w:w="0" w:type="auto"/>
            <w:vAlign w:val="center"/>
          </w:tcPr>
          <w:p w14:paraId="2F787F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Unstable KPIs</w:t>
            </w:r>
          </w:p>
        </w:tc>
        <w:tc>
          <w:tcPr>
            <w:tcW w:w="0" w:type="auto"/>
            <w:vAlign w:val="center"/>
          </w:tcPr>
          <w:p w14:paraId="2CF5ED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B5981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Lack of closed-loop control</w:t>
            </w:r>
          </w:p>
        </w:tc>
      </w:tr>
    </w:tbl>
    <w:p w14:paraId="64D097B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Methodology</w:t>
      </w:r>
    </w:p>
    <w:p w14:paraId="4DA274B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Sources:</w:t>
      </w:r>
      <w:r>
        <w:rPr>
          <w:rFonts w:hint="default" w:ascii="Times New Roman" w:hAnsi="Times New Roman" w:cs="Times New Roman"/>
        </w:rPr>
        <w:t xml:space="preserve"> eNodeB/gNodeB KPIs, PCAPs, Field Logs, Drive Test Data, OSS</w:t>
      </w:r>
    </w:p>
    <w:p w14:paraId="476B51B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Tools Used:</w:t>
      </w:r>
      <w:r>
        <w:rPr>
          <w:rFonts w:hint="default" w:ascii="Times New Roman" w:hAnsi="Times New Roman" w:cs="Times New Roman"/>
        </w:rPr>
        <w:t xml:space="preserve"> Tems Discovery, QXDM, ZenOSS, AI-based anomaly detection</w:t>
      </w:r>
    </w:p>
    <w:p w14:paraId="6D3A6E4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Time Frame:</w:t>
      </w:r>
      <w:r>
        <w:rPr>
          <w:rFonts w:hint="default" w:ascii="Times New Roman" w:hAnsi="Times New Roman" w:cs="Times New Roman"/>
        </w:rPr>
        <w:t xml:space="preserve"> Q1 2025 (January–March)</w:t>
      </w:r>
    </w:p>
    <w:p w14:paraId="3B4AFB2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Recommendations</w:t>
      </w:r>
    </w:p>
    <w:p w14:paraId="48DDB75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AI-guided interference mitigation</w:t>
      </w:r>
    </w:p>
    <w:p w14:paraId="549278C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Re-tune antenna downtilt based on heatmaps</w:t>
      </w:r>
    </w:p>
    <w:p w14:paraId="6A6A923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Upgrade AI/SON controller for better handover optimization</w:t>
      </w:r>
    </w:p>
    <w:p w14:paraId="1F69758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Initiate energy-saving mode pilot on top 10 energy-intensive sites</w:t>
      </w:r>
    </w:p>
    <w:p w14:paraId="09D372D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Expand midhaul to fiber in peak-congested zones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081D7C"/>
    <w:multiLevelType w:val="multilevel"/>
    <w:tmpl w:val="5A081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B2D7875"/>
    <w:multiLevelType w:val="multilevel"/>
    <w:tmpl w:val="6B2D7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23D"/>
    <w:rsid w:val="00180A00"/>
    <w:rsid w:val="0028050F"/>
    <w:rsid w:val="0028578E"/>
    <w:rsid w:val="00BA623D"/>
    <w:rsid w:val="00D22FF6"/>
    <w:rsid w:val="00DE38F6"/>
    <w:rsid w:val="14196372"/>
    <w:rsid w:val="3FB6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248</Words>
  <Characters>1420</Characters>
  <Lines>11</Lines>
  <Paragraphs>3</Paragraphs>
  <TotalTime>0</TotalTime>
  <ScaleCrop>false</ScaleCrop>
  <LinksUpToDate>false</LinksUpToDate>
  <CharactersWithSpaces>1665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2025-07-29T12:42:00Z</dcterms:created>
  <dc:creator>168236-Barbara Malei</dc:creator>
  <cp:lastModifiedBy>ADMIN</cp:lastModifiedBy>
  <dcterms:modified xsi:type="dcterms:W3CDTF">2025-11-08T07:54:24Z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E648D7EE039F40158CFE1A0CA62C83B5_12</vt:lpwstr>
  </property>
</Properties>
</file>