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22BE39D1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5G Use Case Prioritization Matrix</w:t>
      </w:r>
    </w:p>
    <w:p w14:paraId="70207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Purpose:</w:t>
      </w:r>
    </w:p>
    <w:p w14:paraId="3FF78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Rank and prioritize 5G use cases based on business value, technical readiness, and market demand in the operator's footprint.</w:t>
      </w:r>
    </w:p>
    <w:p w14:paraId="13D3B4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 Case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3"/>
        <w:gridCol w:w="2359"/>
        <w:gridCol w:w="1518"/>
        <w:gridCol w:w="1759"/>
        <w:gridCol w:w="1311"/>
      </w:tblGrid>
      <w:tr w14:paraId="629F3C8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F08B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40300C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Value</w:t>
            </w:r>
          </w:p>
        </w:tc>
        <w:tc>
          <w:tcPr>
            <w:tcW w:w="0" w:type="auto"/>
            <w:vAlign w:val="center"/>
          </w:tcPr>
          <w:p w14:paraId="07DAA6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Technical Feasibility</w:t>
            </w:r>
          </w:p>
        </w:tc>
        <w:tc>
          <w:tcPr>
            <w:tcW w:w="0" w:type="auto"/>
            <w:vAlign w:val="center"/>
          </w:tcPr>
          <w:p w14:paraId="30294B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Market Readiness</w:t>
            </w:r>
          </w:p>
        </w:tc>
        <w:tc>
          <w:tcPr>
            <w:tcW w:w="0" w:type="auto"/>
            <w:vAlign w:val="center"/>
          </w:tcPr>
          <w:p w14:paraId="5CE45D5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76DBC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35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eMBB</w:t>
            </w:r>
            <w:r>
              <w:rPr>
                <w:rFonts w:ascii="Times New Roman" w:hAnsi="Times New Roman" w:cs="Times New Roman"/>
              </w:rPr>
              <w:t xml:space="preserve"> (Enhanced Mobile Broadband)</w:t>
            </w:r>
          </w:p>
        </w:tc>
        <w:tc>
          <w:tcPr>
            <w:tcW w:w="0" w:type="auto"/>
            <w:vAlign w:val="center"/>
          </w:tcPr>
          <w:p w14:paraId="2264FF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03B12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099C0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Already Deployed</w:t>
            </w:r>
          </w:p>
        </w:tc>
        <w:tc>
          <w:tcPr>
            <w:tcW w:w="0" w:type="auto"/>
            <w:vAlign w:val="center"/>
          </w:tcPr>
          <w:p w14:paraId="081862A1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Priority 1</w:t>
            </w:r>
          </w:p>
        </w:tc>
      </w:tr>
      <w:tr w14:paraId="58352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BDFE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URLLC</w:t>
            </w:r>
            <w:r>
              <w:rPr>
                <w:rFonts w:ascii="Times New Roman" w:hAnsi="Times New Roman" w:cs="Times New Roman"/>
              </w:rPr>
              <w:t xml:space="preserve"> (Ultra-Reliable Low Latency Comms)</w:t>
            </w:r>
          </w:p>
        </w:tc>
        <w:tc>
          <w:tcPr>
            <w:tcW w:w="0" w:type="auto"/>
            <w:vAlign w:val="center"/>
          </w:tcPr>
          <w:p w14:paraId="7782D3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(e.g., for smart factories, healthcare)</w:t>
            </w:r>
          </w:p>
        </w:tc>
        <w:tc>
          <w:tcPr>
            <w:tcW w:w="0" w:type="auto"/>
            <w:vAlign w:val="center"/>
          </w:tcPr>
          <w:p w14:paraId="0EBB1E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38618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6A30A9D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rPr>
                <w:rFonts w:ascii="Times New Roman" w:hAnsi="Times New Roman" w:cs="Times New Roman"/>
              </w:rPr>
              <w:t xml:space="preserve"> Future Ready</w:t>
            </w:r>
          </w:p>
        </w:tc>
      </w:tr>
      <w:tr w14:paraId="0A08C5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79BC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mMTC</w:t>
            </w:r>
            <w:r>
              <w:rPr>
                <w:rFonts w:ascii="Times New Roman" w:hAnsi="Times New Roman" w:cs="Times New Roman"/>
              </w:rPr>
              <w:t xml:space="preserve"> (Massive Machine Type Comms)</w:t>
            </w:r>
          </w:p>
        </w:tc>
        <w:tc>
          <w:tcPr>
            <w:tcW w:w="0" w:type="auto"/>
            <w:vAlign w:val="center"/>
          </w:tcPr>
          <w:p w14:paraId="7FCA2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(IoT sensors, smart metering)</w:t>
            </w:r>
          </w:p>
        </w:tc>
        <w:tc>
          <w:tcPr>
            <w:tcW w:w="0" w:type="auto"/>
            <w:vAlign w:val="center"/>
          </w:tcPr>
          <w:p w14:paraId="325D95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ACCE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E8CD062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Priority 2</w:t>
            </w:r>
          </w:p>
        </w:tc>
      </w:tr>
      <w:tr w14:paraId="02FDC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74B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Wireless Access (FWA)</w:t>
            </w:r>
          </w:p>
        </w:tc>
        <w:tc>
          <w:tcPr>
            <w:tcW w:w="0" w:type="auto"/>
            <w:vAlign w:val="center"/>
          </w:tcPr>
          <w:p w14:paraId="51CFDC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(Rural &amp; underserved areas)</w:t>
            </w:r>
          </w:p>
        </w:tc>
        <w:tc>
          <w:tcPr>
            <w:tcW w:w="0" w:type="auto"/>
            <w:vAlign w:val="center"/>
          </w:tcPr>
          <w:p w14:paraId="6059FB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9EFAB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61B93B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Priority 3</w:t>
            </w:r>
          </w:p>
        </w:tc>
      </w:tr>
      <w:tr w14:paraId="558E8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5BA1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Private 5G Networks</w:t>
            </w:r>
          </w:p>
        </w:tc>
        <w:tc>
          <w:tcPr>
            <w:tcW w:w="0" w:type="auto"/>
            <w:vAlign w:val="center"/>
          </w:tcPr>
          <w:p w14:paraId="4986E6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(for enterprise clients)</w:t>
            </w:r>
          </w:p>
        </w:tc>
        <w:tc>
          <w:tcPr>
            <w:tcW w:w="0" w:type="auto"/>
            <w:vAlign w:val="center"/>
          </w:tcPr>
          <w:p w14:paraId="443AA3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6B841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FD4E035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Pilot-ready</w:t>
            </w:r>
          </w:p>
        </w:tc>
      </w:tr>
      <w:tr w14:paraId="5FEFE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0E2A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Gaming &amp; XR</w:t>
            </w:r>
          </w:p>
        </w:tc>
        <w:tc>
          <w:tcPr>
            <w:tcW w:w="0" w:type="auto"/>
            <w:vAlign w:val="center"/>
          </w:tcPr>
          <w:p w14:paraId="12B0AC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EA9AA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67D8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(youth, gaming sectors)</w:t>
            </w:r>
          </w:p>
        </w:tc>
        <w:tc>
          <w:tcPr>
            <w:tcW w:w="0" w:type="auto"/>
            <w:vAlign w:val="center"/>
          </w:tcPr>
          <w:p w14:paraId="7948FF1C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Niche-focused</w:t>
            </w:r>
          </w:p>
        </w:tc>
      </w:tr>
      <w:tr w14:paraId="57CDC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3C2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Cities</w:t>
            </w:r>
          </w:p>
        </w:tc>
        <w:tc>
          <w:tcPr>
            <w:tcW w:w="0" w:type="auto"/>
            <w:vAlign w:val="center"/>
          </w:tcPr>
          <w:p w14:paraId="1F5990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 (gov’t partnerships)</w:t>
            </w:r>
          </w:p>
        </w:tc>
        <w:tc>
          <w:tcPr>
            <w:tcW w:w="0" w:type="auto"/>
            <w:vAlign w:val="center"/>
          </w:tcPr>
          <w:p w14:paraId="49A70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10A75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8E3187F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rPr>
                <w:rFonts w:ascii="Times New Roman" w:hAnsi="Times New Roman" w:cs="Times New Roman"/>
              </w:rPr>
              <w:t xml:space="preserve"> Long-Term</w:t>
            </w:r>
          </w:p>
        </w:tc>
      </w:tr>
      <w:tr w14:paraId="38114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9BD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Vehicle-to-Everything (V2X)</w:t>
            </w:r>
          </w:p>
        </w:tc>
        <w:tc>
          <w:tcPr>
            <w:tcW w:w="0" w:type="auto"/>
            <w:vAlign w:val="center"/>
          </w:tcPr>
          <w:p w14:paraId="05CF76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(future transport systems)</w:t>
            </w:r>
          </w:p>
        </w:tc>
        <w:tc>
          <w:tcPr>
            <w:tcW w:w="0" w:type="auto"/>
            <w:vAlign w:val="center"/>
          </w:tcPr>
          <w:p w14:paraId="17167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7B07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4BD5DA74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rPr>
                <w:rFonts w:ascii="Times New Roman" w:hAnsi="Times New Roman" w:cs="Times New Roman"/>
              </w:rPr>
              <w:t xml:space="preserve"> Watchlist</w:t>
            </w:r>
          </w:p>
        </w:tc>
      </w:tr>
    </w:tbl>
    <w:p w14:paraId="76C9FF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Prioritization Criteria</w:t>
      </w:r>
    </w:p>
    <w:p w14:paraId="0AFEE4C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Value</w:t>
      </w:r>
      <w:r>
        <w:rPr>
          <w:rFonts w:ascii="Times New Roman" w:hAnsi="Times New Roman" w:cs="Times New Roman"/>
        </w:rPr>
        <w:t>: Revenue potential, strategic fit, differentiation.</w:t>
      </w:r>
    </w:p>
    <w:p w14:paraId="04D5BC5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Technical Feasibility</w:t>
      </w:r>
      <w:r>
        <w:rPr>
          <w:rFonts w:ascii="Times New Roman" w:hAnsi="Times New Roman" w:cs="Times New Roman"/>
        </w:rPr>
        <w:t>: RAN/core readiness, latency thresholds, device support.</w:t>
      </w:r>
    </w:p>
    <w:p w14:paraId="73B77A8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Market Readiness</w:t>
      </w:r>
      <w:r>
        <w:rPr>
          <w:rFonts w:ascii="Times New Roman" w:hAnsi="Times New Roman" w:cs="Times New Roman"/>
        </w:rPr>
        <w:t>: Customer adoption, regulation, device ecosystem.</w:t>
      </w:r>
    </w:p>
    <w:p w14:paraId="12B5EC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Next Steps:</w:t>
      </w:r>
    </w:p>
    <w:p w14:paraId="4F98C31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Launch eMBB &amp; mMTC optimization programs immediately.</w:t>
      </w:r>
    </w:p>
    <w:p w14:paraId="7A2102B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URLLC and V2X pilots with selected partners (Q4 2025).</w:t>
      </w:r>
    </w:p>
    <w:p w14:paraId="3D1AE81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 network slicing policy with use case categories.</w:t>
      </w:r>
    </w:p>
    <w:p w14:paraId="493C1C0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2042A"/>
    <w:multiLevelType w:val="multilevel"/>
    <w:tmpl w:val="14720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1394921"/>
    <w:multiLevelType w:val="multilevel"/>
    <w:tmpl w:val="21394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81"/>
    <w:rsid w:val="00180A00"/>
    <w:rsid w:val="0028050F"/>
    <w:rsid w:val="0028578E"/>
    <w:rsid w:val="00D22FF6"/>
    <w:rsid w:val="00DE38F6"/>
    <w:rsid w:val="00E36981"/>
    <w:rsid w:val="50B9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202</Words>
  <Characters>1157</Characters>
  <Lines>9</Lines>
  <Paragraphs>2</Paragraphs>
  <TotalTime>0</TotalTime>
  <ScaleCrop>false</ScaleCrop>
  <LinksUpToDate>false</LinksUpToDate>
  <CharactersWithSpaces>1357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2025-07-29T12:43:00Z</dcterms:created>
  <dc:creator>168236-Barbara Malei</dc:creator>
  <cp:lastModifiedBy>ADMIN</cp:lastModifiedBy>
  <dcterms:modified xsi:type="dcterms:W3CDTF">2025-11-08T07:22:46Z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24B5CD1A6FF14DF08A01246569B1517A_12</vt:lpwstr>
  </property>
</Properties>
</file>