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5C180C5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High-Level Risk Register – Smart 5G Project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1747"/>
        <w:gridCol w:w="1219"/>
        <w:gridCol w:w="877"/>
        <w:gridCol w:w="639"/>
        <w:gridCol w:w="1150"/>
        <w:gridCol w:w="1705"/>
        <w:gridCol w:w="1637"/>
      </w:tblGrid>
      <w:tr w14:paraId="7CC09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9DE30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43A381A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</w:tcPr>
          <w:p w14:paraId="37DCEAA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Probability (P)</w:t>
            </w:r>
          </w:p>
        </w:tc>
        <w:tc>
          <w:tcPr>
            <w:tcW w:w="0" w:type="auto"/>
            <w:vAlign w:val="center"/>
          </w:tcPr>
          <w:p w14:paraId="354E27F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Impact (I)</w:t>
            </w:r>
          </w:p>
        </w:tc>
        <w:tc>
          <w:tcPr>
            <w:tcW w:w="0" w:type="auto"/>
            <w:vAlign w:val="center"/>
          </w:tcPr>
          <w:p w14:paraId="40FD8BE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Risk Score (P×I)</w:t>
            </w:r>
          </w:p>
        </w:tc>
        <w:tc>
          <w:tcPr>
            <w:tcW w:w="0" w:type="auto"/>
            <w:vAlign w:val="center"/>
          </w:tcPr>
          <w:p w14:paraId="1832955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Expected Loss (EMV)</w:t>
            </w:r>
          </w:p>
        </w:tc>
        <w:tc>
          <w:tcPr>
            <w:tcW w:w="0" w:type="auto"/>
            <w:vAlign w:val="center"/>
          </w:tcPr>
          <w:p w14:paraId="2AEDC9A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Mitigation Plan</w:t>
            </w:r>
          </w:p>
        </w:tc>
        <w:tc>
          <w:tcPr>
            <w:tcW w:w="0" w:type="auto"/>
            <w:vAlign w:val="center"/>
          </w:tcPr>
          <w:p w14:paraId="638EA5F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Contingency Plan</w:t>
            </w:r>
          </w:p>
        </w:tc>
      </w:tr>
      <w:tr w14:paraId="6B0B4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A886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</w:tcPr>
          <w:p w14:paraId="73F7DB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Spectrum licensing delays</w:t>
            </w:r>
            <w:r>
              <w:rPr>
                <w:rFonts w:hint="default" w:ascii="Times New Roman" w:hAnsi="Times New Roman" w:cs="Times New Roman"/>
              </w:rPr>
              <w:t xml:space="preserve"> from CAK or regional bodies</w:t>
            </w:r>
          </w:p>
        </w:tc>
        <w:tc>
          <w:tcPr>
            <w:tcW w:w="0" w:type="auto"/>
            <w:vAlign w:val="center"/>
          </w:tcPr>
          <w:p w14:paraId="6AB1F3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(0.8)</w:t>
            </w:r>
          </w:p>
        </w:tc>
        <w:tc>
          <w:tcPr>
            <w:tcW w:w="0" w:type="auto"/>
            <w:vAlign w:val="center"/>
          </w:tcPr>
          <w:p w14:paraId="169DD5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(9)</w:t>
            </w:r>
          </w:p>
        </w:tc>
        <w:tc>
          <w:tcPr>
            <w:tcW w:w="0" w:type="auto"/>
            <w:vAlign w:val="center"/>
          </w:tcPr>
          <w:p w14:paraId="55AFFD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7.2</w:t>
            </w:r>
          </w:p>
        </w:tc>
        <w:tc>
          <w:tcPr>
            <w:tcW w:w="0" w:type="auto"/>
            <w:vAlign w:val="center"/>
          </w:tcPr>
          <w:p w14:paraId="14C810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$400,000</w:t>
            </w:r>
          </w:p>
        </w:tc>
        <w:tc>
          <w:tcPr>
            <w:tcW w:w="0" w:type="auto"/>
            <w:vAlign w:val="center"/>
          </w:tcPr>
          <w:p w14:paraId="37ADF8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Initiate early regulatory engagement; assign regulatory liaison officer</w:t>
            </w:r>
          </w:p>
        </w:tc>
        <w:tc>
          <w:tcPr>
            <w:tcW w:w="0" w:type="auto"/>
            <w:vAlign w:val="center"/>
          </w:tcPr>
          <w:p w14:paraId="45F5DB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 existing 4G spectrum with DSS (Dynamic Spectrum Sharing) for initial rollout</w:t>
            </w:r>
          </w:p>
        </w:tc>
      </w:tr>
      <w:tr w14:paraId="6BD903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1173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</w:tcPr>
          <w:p w14:paraId="5B9479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Vendor equipment delays</w:t>
            </w:r>
            <w:r>
              <w:rPr>
                <w:rFonts w:hint="default" w:ascii="Times New Roman" w:hAnsi="Times New Roman" w:cs="Times New Roman"/>
              </w:rPr>
              <w:t xml:space="preserve"> (e.g., Huawei/Ericsson backlog)</w:t>
            </w:r>
          </w:p>
        </w:tc>
        <w:tc>
          <w:tcPr>
            <w:tcW w:w="0" w:type="auto"/>
            <w:vAlign w:val="center"/>
          </w:tcPr>
          <w:p w14:paraId="381958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(0.6)</w:t>
            </w:r>
          </w:p>
        </w:tc>
        <w:tc>
          <w:tcPr>
            <w:tcW w:w="0" w:type="auto"/>
            <w:vAlign w:val="center"/>
          </w:tcPr>
          <w:p w14:paraId="236BEC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(8)</w:t>
            </w:r>
          </w:p>
        </w:tc>
        <w:tc>
          <w:tcPr>
            <w:tcW w:w="0" w:type="auto"/>
            <w:vAlign w:val="center"/>
          </w:tcPr>
          <w:p w14:paraId="17E2E0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4.8</w:t>
            </w:r>
          </w:p>
        </w:tc>
        <w:tc>
          <w:tcPr>
            <w:tcW w:w="0" w:type="auto"/>
            <w:vAlign w:val="center"/>
          </w:tcPr>
          <w:p w14:paraId="589B34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$320,000</w:t>
            </w:r>
          </w:p>
        </w:tc>
        <w:tc>
          <w:tcPr>
            <w:tcW w:w="0" w:type="auto"/>
            <w:vAlign w:val="center"/>
          </w:tcPr>
          <w:p w14:paraId="5EE269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Multi-vendor sourcing contracts; buffer stock</w:t>
            </w:r>
          </w:p>
        </w:tc>
        <w:tc>
          <w:tcPr>
            <w:tcW w:w="0" w:type="auto"/>
            <w:vAlign w:val="center"/>
          </w:tcPr>
          <w:p w14:paraId="773855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Prioritize urban nodes; redeploy spare equipment from low-priority zones</w:t>
            </w:r>
          </w:p>
        </w:tc>
      </w:tr>
      <w:tr w14:paraId="053061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71F0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</w:tcPr>
          <w:p w14:paraId="77BC29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AI/SON model instability</w:t>
            </w:r>
            <w:r>
              <w:rPr>
                <w:rFonts w:hint="default" w:ascii="Times New Roman" w:hAnsi="Times New Roman" w:cs="Times New Roman"/>
              </w:rPr>
              <w:t xml:space="preserve"> in live traffic</w:t>
            </w:r>
          </w:p>
        </w:tc>
        <w:tc>
          <w:tcPr>
            <w:tcW w:w="0" w:type="auto"/>
            <w:vAlign w:val="center"/>
          </w:tcPr>
          <w:p w14:paraId="0140F8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(0.5)</w:t>
            </w:r>
          </w:p>
        </w:tc>
        <w:tc>
          <w:tcPr>
            <w:tcW w:w="0" w:type="auto"/>
            <w:vAlign w:val="center"/>
          </w:tcPr>
          <w:p w14:paraId="07248B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(9)</w:t>
            </w:r>
          </w:p>
        </w:tc>
        <w:tc>
          <w:tcPr>
            <w:tcW w:w="0" w:type="auto"/>
            <w:vAlign w:val="center"/>
          </w:tcPr>
          <w:p w14:paraId="0D0BA5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4.5</w:t>
            </w:r>
          </w:p>
        </w:tc>
        <w:tc>
          <w:tcPr>
            <w:tcW w:w="0" w:type="auto"/>
            <w:vAlign w:val="center"/>
          </w:tcPr>
          <w:p w14:paraId="1FF8A1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$270,000</w:t>
            </w:r>
          </w:p>
        </w:tc>
        <w:tc>
          <w:tcPr>
            <w:tcW w:w="0" w:type="auto"/>
            <w:vAlign w:val="center"/>
          </w:tcPr>
          <w:p w14:paraId="00F148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Pilot testing in sandbox environments; use fallback algorithms</w:t>
            </w:r>
          </w:p>
        </w:tc>
        <w:tc>
          <w:tcPr>
            <w:tcW w:w="0" w:type="auto"/>
            <w:vAlign w:val="center"/>
          </w:tcPr>
          <w:p w14:paraId="593DE1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Revert to manual optimization mode and vendor-provided baseline SON templates</w:t>
            </w:r>
          </w:p>
        </w:tc>
      </w:tr>
      <w:tr w14:paraId="17BAB0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1C1C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</w:tcPr>
          <w:p w14:paraId="118C86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Cybersecurity breach</w:t>
            </w:r>
            <w:r>
              <w:rPr>
                <w:rFonts w:hint="default" w:ascii="Times New Roman" w:hAnsi="Times New Roman" w:cs="Times New Roman"/>
              </w:rPr>
              <w:t xml:space="preserve"> targeting SDN controller or APIs</w:t>
            </w:r>
          </w:p>
        </w:tc>
        <w:tc>
          <w:tcPr>
            <w:tcW w:w="0" w:type="auto"/>
            <w:vAlign w:val="center"/>
          </w:tcPr>
          <w:p w14:paraId="36317C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 (0.3)</w:t>
            </w:r>
          </w:p>
        </w:tc>
        <w:tc>
          <w:tcPr>
            <w:tcW w:w="0" w:type="auto"/>
            <w:vAlign w:val="center"/>
          </w:tcPr>
          <w:p w14:paraId="40CBF4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Critical (10)</w:t>
            </w:r>
          </w:p>
        </w:tc>
        <w:tc>
          <w:tcPr>
            <w:tcW w:w="0" w:type="auto"/>
            <w:vAlign w:val="center"/>
          </w:tcPr>
          <w:p w14:paraId="6597E7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</w:tcPr>
          <w:p w14:paraId="475800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$1,000,000</w:t>
            </w:r>
          </w:p>
        </w:tc>
        <w:tc>
          <w:tcPr>
            <w:tcW w:w="0" w:type="auto"/>
            <w:vAlign w:val="center"/>
          </w:tcPr>
          <w:p w14:paraId="3769E0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 Zero-Trust Architecture; API encryption and penetration testing</w:t>
            </w:r>
          </w:p>
        </w:tc>
        <w:tc>
          <w:tcPr>
            <w:tcW w:w="0" w:type="auto"/>
            <w:vAlign w:val="center"/>
          </w:tcPr>
          <w:p w14:paraId="4853D2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Isolate affected systems; invoke incident response plan and CERT team</w:t>
            </w:r>
          </w:p>
        </w:tc>
      </w:tr>
      <w:tr w14:paraId="559CE3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0622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</w:tcPr>
          <w:p w14:paraId="7A66A9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Negative public perception</w:t>
            </w:r>
            <w:r>
              <w:rPr>
                <w:rFonts w:hint="default" w:ascii="Times New Roman" w:hAnsi="Times New Roman" w:cs="Times New Roman"/>
              </w:rPr>
              <w:t xml:space="preserve"> in rural areas due to health concerns about 5G</w:t>
            </w:r>
          </w:p>
        </w:tc>
        <w:tc>
          <w:tcPr>
            <w:tcW w:w="0" w:type="auto"/>
            <w:vAlign w:val="center"/>
          </w:tcPr>
          <w:p w14:paraId="6E44FB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(0.6)</w:t>
            </w:r>
          </w:p>
        </w:tc>
        <w:tc>
          <w:tcPr>
            <w:tcW w:w="0" w:type="auto"/>
            <w:vAlign w:val="center"/>
          </w:tcPr>
          <w:p w14:paraId="2F6152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(6)</w:t>
            </w:r>
          </w:p>
        </w:tc>
        <w:tc>
          <w:tcPr>
            <w:tcW w:w="0" w:type="auto"/>
            <w:vAlign w:val="center"/>
          </w:tcPr>
          <w:p w14:paraId="02D560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3.6</w:t>
            </w:r>
          </w:p>
        </w:tc>
        <w:tc>
          <w:tcPr>
            <w:tcW w:w="0" w:type="auto"/>
            <w:vAlign w:val="center"/>
          </w:tcPr>
          <w:p w14:paraId="72A21C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$100,000</w:t>
            </w:r>
          </w:p>
        </w:tc>
        <w:tc>
          <w:tcPr>
            <w:tcW w:w="0" w:type="auto"/>
            <w:vAlign w:val="center"/>
          </w:tcPr>
          <w:p w14:paraId="04B879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Launch educational campaigns with health authorities; use transparent communications</w:t>
            </w:r>
          </w:p>
        </w:tc>
        <w:tc>
          <w:tcPr>
            <w:tcW w:w="0" w:type="auto"/>
            <w:vAlign w:val="center"/>
          </w:tcPr>
          <w:p w14:paraId="1EE403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Delay rollout in affected zones and substitute with enhanced 4G LTE coverage</w:t>
            </w:r>
          </w:p>
        </w:tc>
      </w:tr>
      <w:tr w14:paraId="023BE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8D5C9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R6</w:t>
            </w:r>
          </w:p>
        </w:tc>
        <w:tc>
          <w:tcPr>
            <w:tcW w:w="0" w:type="auto"/>
            <w:vAlign w:val="center"/>
          </w:tcPr>
          <w:p w14:paraId="5F759F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Intra-team conflict</w:t>
            </w:r>
            <w:r>
              <w:rPr>
                <w:rFonts w:hint="default" w:ascii="Times New Roman" w:hAnsi="Times New Roman" w:cs="Times New Roman"/>
              </w:rPr>
              <w:t xml:space="preserve"> across AI, Network, and IT divisions</w:t>
            </w:r>
          </w:p>
        </w:tc>
        <w:tc>
          <w:tcPr>
            <w:tcW w:w="0" w:type="auto"/>
            <w:vAlign w:val="center"/>
          </w:tcPr>
          <w:p w14:paraId="490A49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(0.5)</w:t>
            </w:r>
          </w:p>
        </w:tc>
        <w:tc>
          <w:tcPr>
            <w:tcW w:w="0" w:type="auto"/>
            <w:vAlign w:val="center"/>
          </w:tcPr>
          <w:p w14:paraId="78DDFC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(5)</w:t>
            </w:r>
          </w:p>
        </w:tc>
        <w:tc>
          <w:tcPr>
            <w:tcW w:w="0" w:type="auto"/>
            <w:vAlign w:val="center"/>
          </w:tcPr>
          <w:p w14:paraId="7829D9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</w:tcPr>
          <w:p w14:paraId="276AEF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$60,000</w:t>
            </w:r>
          </w:p>
        </w:tc>
        <w:tc>
          <w:tcPr>
            <w:tcW w:w="0" w:type="auto"/>
            <w:vAlign w:val="center"/>
          </w:tcPr>
          <w:p w14:paraId="7A8D05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Clear RACI matrix; cross-functional daily scrums</w:t>
            </w:r>
          </w:p>
        </w:tc>
        <w:tc>
          <w:tcPr>
            <w:tcW w:w="0" w:type="auto"/>
            <w:vAlign w:val="center"/>
          </w:tcPr>
          <w:p w14:paraId="350D5A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Escalate to program steering committee; rotate integration leads</w:t>
            </w:r>
          </w:p>
        </w:tc>
      </w:tr>
      <w:tr w14:paraId="78D71B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0AB8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R7</w:t>
            </w:r>
          </w:p>
        </w:tc>
        <w:tc>
          <w:tcPr>
            <w:tcW w:w="0" w:type="auto"/>
            <w:vAlign w:val="center"/>
          </w:tcPr>
          <w:p w14:paraId="1F227A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High energy consumption</w:t>
            </w:r>
            <w:r>
              <w:rPr>
                <w:rFonts w:hint="default" w:ascii="Times New Roman" w:hAnsi="Times New Roman" w:cs="Times New Roman"/>
              </w:rPr>
              <w:t xml:space="preserve"> increases OPEX and reduces sustainability</w:t>
            </w:r>
          </w:p>
        </w:tc>
        <w:tc>
          <w:tcPr>
            <w:tcW w:w="0" w:type="auto"/>
            <w:vAlign w:val="center"/>
          </w:tcPr>
          <w:p w14:paraId="554120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(0.5)</w:t>
            </w:r>
          </w:p>
        </w:tc>
        <w:tc>
          <w:tcPr>
            <w:tcW w:w="0" w:type="auto"/>
            <w:vAlign w:val="center"/>
          </w:tcPr>
          <w:p w14:paraId="714F66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(6)</w:t>
            </w:r>
          </w:p>
        </w:tc>
        <w:tc>
          <w:tcPr>
            <w:tcW w:w="0" w:type="auto"/>
            <w:vAlign w:val="center"/>
          </w:tcPr>
          <w:p w14:paraId="428449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</w:tcPr>
          <w:p w14:paraId="0B4F39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$150,000</w:t>
            </w:r>
          </w:p>
        </w:tc>
        <w:tc>
          <w:tcPr>
            <w:tcW w:w="0" w:type="auto"/>
            <w:vAlign w:val="center"/>
          </w:tcPr>
          <w:p w14:paraId="78AB29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Deploy energy-efficient RUs; optimize cooling using AI</w:t>
            </w:r>
          </w:p>
        </w:tc>
        <w:tc>
          <w:tcPr>
            <w:tcW w:w="0" w:type="auto"/>
            <w:vAlign w:val="center"/>
          </w:tcPr>
          <w:p w14:paraId="13712A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Shift heavier workloads to low-cost time-of-day energy zones</w:t>
            </w:r>
          </w:p>
        </w:tc>
      </w:tr>
      <w:tr w14:paraId="35F34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B3E5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R8</w:t>
            </w:r>
          </w:p>
        </w:tc>
        <w:tc>
          <w:tcPr>
            <w:tcW w:w="0" w:type="auto"/>
            <w:vAlign w:val="center"/>
          </w:tcPr>
          <w:p w14:paraId="53E27C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Regulatory change mid-project</w:t>
            </w:r>
            <w:r>
              <w:rPr>
                <w:rFonts w:hint="default" w:ascii="Times New Roman" w:hAnsi="Times New Roman" w:cs="Times New Roman"/>
              </w:rPr>
              <w:t xml:space="preserve"> (e.g., environmental zoning)</w:t>
            </w:r>
          </w:p>
        </w:tc>
        <w:tc>
          <w:tcPr>
            <w:tcW w:w="0" w:type="auto"/>
            <w:vAlign w:val="center"/>
          </w:tcPr>
          <w:p w14:paraId="528DC0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 (0.3)</w:t>
            </w:r>
          </w:p>
        </w:tc>
        <w:tc>
          <w:tcPr>
            <w:tcW w:w="0" w:type="auto"/>
            <w:vAlign w:val="center"/>
          </w:tcPr>
          <w:p w14:paraId="71D6E2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(8)</w:t>
            </w:r>
          </w:p>
        </w:tc>
        <w:tc>
          <w:tcPr>
            <w:tcW w:w="0" w:type="auto"/>
            <w:vAlign w:val="center"/>
          </w:tcPr>
          <w:p w14:paraId="05FF3C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2.4</w:t>
            </w:r>
          </w:p>
        </w:tc>
        <w:tc>
          <w:tcPr>
            <w:tcW w:w="0" w:type="auto"/>
            <w:vAlign w:val="center"/>
          </w:tcPr>
          <w:p w14:paraId="0D623B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$240,000</w:t>
            </w:r>
          </w:p>
        </w:tc>
        <w:tc>
          <w:tcPr>
            <w:tcW w:w="0" w:type="auto"/>
            <w:vAlign w:val="center"/>
          </w:tcPr>
          <w:p w14:paraId="096EDA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 policy shifts through a legal compliance unit</w:t>
            </w:r>
          </w:p>
        </w:tc>
        <w:tc>
          <w:tcPr>
            <w:tcW w:w="0" w:type="auto"/>
            <w:vAlign w:val="center"/>
          </w:tcPr>
          <w:p w14:paraId="3F4495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Adjust implementation schedule; reassign teams temporarily</w:t>
            </w:r>
          </w:p>
        </w:tc>
      </w:tr>
      <w:tr w14:paraId="2E0D0E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A6D4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R9</w:t>
            </w:r>
          </w:p>
        </w:tc>
        <w:tc>
          <w:tcPr>
            <w:tcW w:w="0" w:type="auto"/>
            <w:vAlign w:val="center"/>
          </w:tcPr>
          <w:p w14:paraId="383CB8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Poor adoption by enterprise clients</w:t>
            </w:r>
            <w:r>
              <w:rPr>
                <w:rFonts w:hint="default" w:ascii="Times New Roman" w:hAnsi="Times New Roman" w:cs="Times New Roman"/>
              </w:rPr>
              <w:t xml:space="preserve"> due to legacy systems</w:t>
            </w:r>
          </w:p>
        </w:tc>
        <w:tc>
          <w:tcPr>
            <w:tcW w:w="0" w:type="auto"/>
            <w:vAlign w:val="center"/>
          </w:tcPr>
          <w:p w14:paraId="110E91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(0.6)</w:t>
            </w:r>
          </w:p>
        </w:tc>
        <w:tc>
          <w:tcPr>
            <w:tcW w:w="0" w:type="auto"/>
            <w:vAlign w:val="center"/>
          </w:tcPr>
          <w:p w14:paraId="2C5246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(6)</w:t>
            </w:r>
          </w:p>
        </w:tc>
        <w:tc>
          <w:tcPr>
            <w:tcW w:w="0" w:type="auto"/>
            <w:vAlign w:val="center"/>
          </w:tcPr>
          <w:p w14:paraId="2C6451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3.6</w:t>
            </w:r>
          </w:p>
        </w:tc>
        <w:tc>
          <w:tcPr>
            <w:tcW w:w="0" w:type="auto"/>
            <w:vAlign w:val="center"/>
          </w:tcPr>
          <w:p w14:paraId="6164BA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$180,000</w:t>
            </w:r>
          </w:p>
        </w:tc>
        <w:tc>
          <w:tcPr>
            <w:tcW w:w="0" w:type="auto"/>
            <w:vAlign w:val="center"/>
          </w:tcPr>
          <w:p w14:paraId="47ADF4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 early integration support, SDN/5G test environments</w:t>
            </w:r>
          </w:p>
        </w:tc>
        <w:tc>
          <w:tcPr>
            <w:tcW w:w="0" w:type="auto"/>
            <w:vAlign w:val="center"/>
          </w:tcPr>
          <w:p w14:paraId="331DD7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Offer hybrid connectivity with guaranteed SLA fallback to 4G</w:t>
            </w:r>
          </w:p>
        </w:tc>
      </w:tr>
      <w:tr w14:paraId="75705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48C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R10</w:t>
            </w:r>
          </w:p>
        </w:tc>
        <w:tc>
          <w:tcPr>
            <w:tcW w:w="0" w:type="auto"/>
            <w:vAlign w:val="center"/>
          </w:tcPr>
          <w:p w14:paraId="1D7043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Inadequate CAPEX budget release timing</w:t>
            </w:r>
          </w:p>
        </w:tc>
        <w:tc>
          <w:tcPr>
            <w:tcW w:w="0" w:type="auto"/>
            <w:vAlign w:val="center"/>
          </w:tcPr>
          <w:p w14:paraId="4C276F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 (0.5)</w:t>
            </w:r>
          </w:p>
        </w:tc>
        <w:tc>
          <w:tcPr>
            <w:tcW w:w="0" w:type="auto"/>
            <w:vAlign w:val="center"/>
          </w:tcPr>
          <w:p w14:paraId="342649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(8)</w:t>
            </w:r>
          </w:p>
        </w:tc>
        <w:tc>
          <w:tcPr>
            <w:tcW w:w="0" w:type="auto"/>
            <w:vAlign w:val="center"/>
          </w:tcPr>
          <w:p w14:paraId="7C4855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4.0</w:t>
            </w:r>
          </w:p>
        </w:tc>
        <w:tc>
          <w:tcPr>
            <w:tcW w:w="0" w:type="auto"/>
            <w:vAlign w:val="center"/>
          </w:tcPr>
          <w:p w14:paraId="6A7D1C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$200,000</w:t>
            </w:r>
          </w:p>
        </w:tc>
        <w:tc>
          <w:tcPr>
            <w:tcW w:w="0" w:type="auto"/>
            <w:vAlign w:val="center"/>
          </w:tcPr>
          <w:p w14:paraId="64C8C7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Agile budgeting, quarterly release requests, and finance pre-approvals</w:t>
            </w:r>
          </w:p>
        </w:tc>
        <w:tc>
          <w:tcPr>
            <w:tcW w:w="0" w:type="auto"/>
            <w:vAlign w:val="center"/>
          </w:tcPr>
          <w:p w14:paraId="2514BB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Phase deployment regionally; reallocate resources to high-ROI areas first</w:t>
            </w:r>
          </w:p>
        </w:tc>
      </w:tr>
    </w:tbl>
    <w:p w14:paraId="1EA24A3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Risk Prioritization Heat Map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1"/>
        <w:gridCol w:w="741"/>
        <w:gridCol w:w="1541"/>
        <w:gridCol w:w="582"/>
      </w:tblGrid>
      <w:tr w14:paraId="7C2BB0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6CD8E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Impact ↓ / Probability →</w:t>
            </w:r>
          </w:p>
        </w:tc>
        <w:tc>
          <w:tcPr>
            <w:tcW w:w="0" w:type="auto"/>
            <w:vAlign w:val="center"/>
          </w:tcPr>
          <w:p w14:paraId="13A0661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</w:tcPr>
          <w:p w14:paraId="0EC9431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63ACD2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High</w:t>
            </w:r>
          </w:p>
        </w:tc>
      </w:tr>
      <w:tr w14:paraId="4D578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879A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High (8–10)</w:t>
            </w:r>
          </w:p>
        </w:tc>
        <w:tc>
          <w:tcPr>
            <w:tcW w:w="0" w:type="auto"/>
            <w:vAlign w:val="center"/>
          </w:tcPr>
          <w:p w14:paraId="515CA8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R4, R8</w:t>
            </w:r>
          </w:p>
        </w:tc>
        <w:tc>
          <w:tcPr>
            <w:tcW w:w="0" w:type="auto"/>
            <w:vAlign w:val="center"/>
          </w:tcPr>
          <w:p w14:paraId="738AF4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R2, R10</w:t>
            </w:r>
          </w:p>
        </w:tc>
        <w:tc>
          <w:tcPr>
            <w:tcW w:w="0" w:type="auto"/>
            <w:vAlign w:val="center"/>
          </w:tcPr>
          <w:p w14:paraId="51D754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R1</w:t>
            </w:r>
          </w:p>
        </w:tc>
      </w:tr>
      <w:tr w14:paraId="1D8E2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740C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Medium (5–7)</w:t>
            </w:r>
          </w:p>
        </w:tc>
        <w:tc>
          <w:tcPr>
            <w:tcW w:w="0" w:type="auto"/>
            <w:vAlign w:val="center"/>
          </w:tcPr>
          <w:p w14:paraId="1C3538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037080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R3, R6, R7, R9</w:t>
            </w:r>
          </w:p>
        </w:tc>
        <w:tc>
          <w:tcPr>
            <w:tcW w:w="0" w:type="auto"/>
            <w:vAlign w:val="center"/>
          </w:tcPr>
          <w:p w14:paraId="09A966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R5</w:t>
            </w:r>
          </w:p>
        </w:tc>
      </w:tr>
      <w:tr w14:paraId="424BC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17CF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 (1–4)</w:t>
            </w:r>
          </w:p>
        </w:tc>
        <w:tc>
          <w:tcPr>
            <w:tcW w:w="0" w:type="auto"/>
            <w:vAlign w:val="center"/>
          </w:tcPr>
          <w:p w14:paraId="306CF9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264E00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0DA0D3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</w:tbl>
    <w:p w14:paraId="5831AF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Key Notes:</w:t>
      </w:r>
    </w:p>
    <w:p w14:paraId="392DA1F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EMV (Expected Monetary Value)</w:t>
      </w:r>
      <w:r>
        <w:rPr>
          <w:rFonts w:hint="default" w:ascii="Times New Roman" w:hAnsi="Times New Roman" w:cs="Times New Roman"/>
        </w:rPr>
        <w:t xml:space="preserve"> is calculated as: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EMV = Probability × Estimated Financial Impact</w:t>
      </w:r>
    </w:p>
    <w:p w14:paraId="668CF72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Critical risks (R1, R4) must have </w:t>
      </w:r>
      <w:r>
        <w:rPr>
          <w:rFonts w:hint="default" w:ascii="Times New Roman" w:hAnsi="Times New Roman" w:cs="Times New Roman"/>
          <w:b/>
          <w:bCs/>
        </w:rPr>
        <w:t>real-time tracking KPIs</w:t>
      </w:r>
      <w:r>
        <w:rPr>
          <w:rFonts w:hint="default" w:ascii="Times New Roman" w:hAnsi="Times New Roman" w:cs="Times New Roman"/>
        </w:rPr>
        <w:t xml:space="preserve"> in the project dashboard.</w:t>
      </w:r>
    </w:p>
    <w:p w14:paraId="0CD37D0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Medium-level risks (R2, R3, R5) need </w:t>
      </w:r>
      <w:r>
        <w:rPr>
          <w:rFonts w:hint="default" w:ascii="Times New Roman" w:hAnsi="Times New Roman" w:cs="Times New Roman"/>
          <w:b/>
          <w:bCs/>
        </w:rPr>
        <w:t>weekly review and dynamic mitigation</w:t>
      </w:r>
      <w:r>
        <w:rPr>
          <w:rFonts w:hint="default" w:ascii="Times New Roman" w:hAnsi="Times New Roman" w:cs="Times New Roman"/>
        </w:rPr>
        <w:t>.</w:t>
      </w:r>
    </w:p>
    <w:p w14:paraId="33827F0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Risk register must be updated </w:t>
      </w:r>
      <w:r>
        <w:rPr>
          <w:rFonts w:hint="default" w:ascii="Times New Roman" w:hAnsi="Times New Roman" w:cs="Times New Roman"/>
          <w:b/>
          <w:bCs/>
        </w:rPr>
        <w:t>bi-weekly</w:t>
      </w:r>
      <w:r>
        <w:rPr>
          <w:rFonts w:hint="default" w:ascii="Times New Roman" w:hAnsi="Times New Roman" w:cs="Times New Roman"/>
        </w:rPr>
        <w:t xml:space="preserve"> and approved by the </w:t>
      </w:r>
      <w:r>
        <w:rPr>
          <w:rFonts w:hint="default" w:ascii="Times New Roman" w:hAnsi="Times New Roman" w:cs="Times New Roman"/>
          <w:b/>
          <w:bCs/>
        </w:rPr>
        <w:t>Risk Governance Lead</w:t>
      </w:r>
      <w:r>
        <w:rPr>
          <w:rFonts w:hint="default" w:ascii="Times New Roman" w:hAnsi="Times New Roman" w:cs="Times New Roman"/>
        </w:rPr>
        <w:t>.</w:t>
      </w:r>
    </w:p>
    <w:p w14:paraId="5D21565B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747F9"/>
    <w:multiLevelType w:val="multilevel"/>
    <w:tmpl w:val="42074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0E2"/>
    <w:rsid w:val="00180A00"/>
    <w:rsid w:val="00284989"/>
    <w:rsid w:val="0028578E"/>
    <w:rsid w:val="00A040E2"/>
    <w:rsid w:val="00D22FF6"/>
    <w:rsid w:val="00DE38F6"/>
    <w:rsid w:val="4DB1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439</Words>
  <Characters>2504</Characters>
  <Lines>20</Lines>
  <Paragraphs>5</Paragraphs>
  <TotalTime>0</TotalTime>
  <ScaleCrop>false</ScaleCrop>
  <LinksUpToDate>false</LinksUpToDate>
  <CharactersWithSpaces>2938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2025-07-30T06:04:00Z</dcterms:created>
  <dc:creator>168236-Barbara Malei</dc:creator>
  <cp:lastModifiedBy>ADMIN</cp:lastModifiedBy>
  <dcterms:modified xsi:type="dcterms:W3CDTF">2025-11-08T07:21:13Z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ED795EF1F17F4756B62D2E60A355A550_12</vt:lpwstr>
  </property>
</Properties>
</file>