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1472D30D">
      <w:p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2CB7E2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Initial Feasibility &amp; Technology Assessment Report</w:t>
      </w:r>
    </w:p>
    <w:p w14:paraId="6AB9D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Project:</w:t>
      </w:r>
      <w:r>
        <w:rPr>
          <w:rFonts w:ascii="Times New Roman" w:hAnsi="Times New Roman" w:cs="Times New Roman"/>
        </w:rPr>
        <w:t xml:space="preserve"> Smart 5G Optimization &amp; Deployment </w:t>
      </w:r>
    </w:p>
    <w:p w14:paraId="512F09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Executive Summary</w:t>
      </w:r>
    </w:p>
    <w:p w14:paraId="36B34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report evaluates the </w:t>
      </w:r>
      <w:r>
        <w:rPr>
          <w:rFonts w:ascii="Times New Roman" w:hAnsi="Times New Roman" w:cs="Times New Roman"/>
          <w:b/>
          <w:bCs/>
        </w:rPr>
        <w:t>technical feasibility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integration readiness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operational risks</w:t>
      </w:r>
      <w:r>
        <w:rPr>
          <w:rFonts w:ascii="Times New Roman" w:hAnsi="Times New Roman" w:cs="Times New Roman"/>
        </w:rPr>
        <w:t xml:space="preserve"> of deploying Smart 5G across urban and rural nodes in Kenya. It also reviews the maturity of 5G technologies, spectrum availability, and network integration with existing 4G and cloud-native infrastructure.</w:t>
      </w:r>
    </w:p>
    <w:p w14:paraId="00B64A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Technology Landscape Evaluation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1350"/>
        <w:gridCol w:w="3234"/>
        <w:gridCol w:w="2852"/>
      </w:tblGrid>
      <w:tr w14:paraId="49E7A5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39FF4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4E74C89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</w:tcPr>
          <w:p w14:paraId="33D22C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</w:tcPr>
          <w:p w14:paraId="6E62B4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14:paraId="6BE3A0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1464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Radio Access (RAN)</w:t>
            </w:r>
          </w:p>
        </w:tc>
        <w:tc>
          <w:tcPr>
            <w:tcW w:w="0" w:type="auto"/>
            <w:vAlign w:val="center"/>
          </w:tcPr>
          <w:p w14:paraId="7B7C24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Feasible</w:t>
            </w:r>
          </w:p>
        </w:tc>
        <w:tc>
          <w:tcPr>
            <w:tcW w:w="0" w:type="auto"/>
            <w:vAlign w:val="center"/>
          </w:tcPr>
          <w:p w14:paraId="08199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Massive MIMO, mmWave, C-band, beamforming</w:t>
            </w:r>
          </w:p>
        </w:tc>
        <w:tc>
          <w:tcPr>
            <w:tcW w:w="0" w:type="auto"/>
            <w:vAlign w:val="center"/>
          </w:tcPr>
          <w:p w14:paraId="50F0E6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High-capacity, supports FWA and mobile</w:t>
            </w:r>
          </w:p>
        </w:tc>
      </w:tr>
      <w:tr w14:paraId="34FF31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29CB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Network</w:t>
            </w:r>
          </w:p>
        </w:tc>
        <w:tc>
          <w:tcPr>
            <w:tcW w:w="0" w:type="auto"/>
            <w:vAlign w:val="center"/>
          </w:tcPr>
          <w:p w14:paraId="53BFE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Ready</w:t>
            </w:r>
          </w:p>
        </w:tc>
        <w:tc>
          <w:tcPr>
            <w:tcW w:w="0" w:type="auto"/>
            <w:vAlign w:val="center"/>
          </w:tcPr>
          <w:p w14:paraId="0F298B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5G Core (5GC) with MEC &amp; vEPC</w:t>
            </w:r>
          </w:p>
        </w:tc>
        <w:tc>
          <w:tcPr>
            <w:tcW w:w="0" w:type="auto"/>
            <w:vAlign w:val="center"/>
          </w:tcPr>
          <w:p w14:paraId="774AE1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Enables ultra-low latency and network slicing</w:t>
            </w:r>
          </w:p>
        </w:tc>
      </w:tr>
      <w:tr w14:paraId="6D062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6A50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AI-Driven SON</w:t>
            </w:r>
          </w:p>
        </w:tc>
        <w:tc>
          <w:tcPr>
            <w:tcW w:w="0" w:type="auto"/>
            <w:vAlign w:val="center"/>
          </w:tcPr>
          <w:p w14:paraId="7EEB9C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Emerging</w:t>
            </w:r>
          </w:p>
        </w:tc>
        <w:tc>
          <w:tcPr>
            <w:tcW w:w="0" w:type="auto"/>
            <w:vAlign w:val="center"/>
          </w:tcPr>
          <w:p w14:paraId="099B5F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H2O.ai + SON from Huawei</w:t>
            </w:r>
          </w:p>
        </w:tc>
        <w:tc>
          <w:tcPr>
            <w:tcW w:w="0" w:type="auto"/>
            <w:vAlign w:val="center"/>
          </w:tcPr>
          <w:p w14:paraId="4552E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Reduces manual tuning, risk of instability</w:t>
            </w:r>
          </w:p>
        </w:tc>
      </w:tr>
      <w:tr w14:paraId="237F1E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68B0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Transport (Backhaul)</w:t>
            </w:r>
          </w:p>
        </w:tc>
        <w:tc>
          <w:tcPr>
            <w:tcW w:w="0" w:type="auto"/>
            <w:vAlign w:val="center"/>
          </w:tcPr>
          <w:p w14:paraId="70C2F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Partially ready</w:t>
            </w:r>
          </w:p>
        </w:tc>
        <w:tc>
          <w:tcPr>
            <w:tcW w:w="0" w:type="auto"/>
            <w:vAlign w:val="center"/>
          </w:tcPr>
          <w:p w14:paraId="1BA8B4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Microwave + Fiber</w:t>
            </w:r>
          </w:p>
        </w:tc>
        <w:tc>
          <w:tcPr>
            <w:tcW w:w="0" w:type="auto"/>
            <w:vAlign w:val="center"/>
          </w:tcPr>
          <w:p w14:paraId="55ECD8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Rural last-mile needs boosting</w:t>
            </w:r>
          </w:p>
        </w:tc>
      </w:tr>
      <w:tr w14:paraId="2D5B1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93F5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Cloud Integration</w:t>
            </w:r>
          </w:p>
        </w:tc>
        <w:tc>
          <w:tcPr>
            <w:tcW w:w="0" w:type="auto"/>
            <w:vAlign w:val="center"/>
          </w:tcPr>
          <w:p w14:paraId="7EA519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Mature</w:t>
            </w:r>
          </w:p>
        </w:tc>
        <w:tc>
          <w:tcPr>
            <w:tcW w:w="0" w:type="auto"/>
            <w:vAlign w:val="center"/>
          </w:tcPr>
          <w:p w14:paraId="4371E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SDN, NFV, containerization</w:t>
            </w:r>
          </w:p>
        </w:tc>
        <w:tc>
          <w:tcPr>
            <w:tcW w:w="0" w:type="auto"/>
            <w:vAlign w:val="center"/>
          </w:tcPr>
          <w:p w14:paraId="58118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 RAN &amp; ORAN support required</w:t>
            </w:r>
          </w:p>
        </w:tc>
      </w:tr>
      <w:tr w14:paraId="3457F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E5AD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IoT &amp; Enterprise Support</w:t>
            </w:r>
          </w:p>
        </w:tc>
        <w:tc>
          <w:tcPr>
            <w:tcW w:w="0" w:type="auto"/>
            <w:vAlign w:val="center"/>
          </w:tcPr>
          <w:p w14:paraId="3503E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value</w:t>
            </w:r>
          </w:p>
        </w:tc>
        <w:tc>
          <w:tcPr>
            <w:tcW w:w="0" w:type="auto"/>
            <w:vAlign w:val="center"/>
          </w:tcPr>
          <w:p w14:paraId="6B8EF3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Slicing, URLLC</w:t>
            </w:r>
          </w:p>
        </w:tc>
        <w:tc>
          <w:tcPr>
            <w:tcW w:w="0" w:type="auto"/>
            <w:vAlign w:val="center"/>
          </w:tcPr>
          <w:p w14:paraId="424C81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Useful for banks, AR/VR, surveillance</w:t>
            </w:r>
          </w:p>
        </w:tc>
      </w:tr>
    </w:tbl>
    <w:p w14:paraId="7A2006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Integration Risks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2"/>
        <w:gridCol w:w="3408"/>
        <w:gridCol w:w="900"/>
        <w:gridCol w:w="2900"/>
      </w:tblGrid>
      <w:tr w14:paraId="36BA9A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C9501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Area</w:t>
            </w:r>
          </w:p>
        </w:tc>
        <w:tc>
          <w:tcPr>
            <w:tcW w:w="0" w:type="auto"/>
            <w:vAlign w:val="center"/>
          </w:tcPr>
          <w:p w14:paraId="783D8C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E4F70F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</w:tcPr>
          <w:p w14:paraId="49B34E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14:paraId="2D7930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7BB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Legacy 4G overlap</w:t>
            </w:r>
          </w:p>
        </w:tc>
        <w:tc>
          <w:tcPr>
            <w:tcW w:w="0" w:type="auto"/>
            <w:vAlign w:val="center"/>
          </w:tcPr>
          <w:p w14:paraId="18B446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Interference &amp; handover issues</w:t>
            </w:r>
          </w:p>
        </w:tc>
        <w:tc>
          <w:tcPr>
            <w:tcW w:w="0" w:type="auto"/>
            <w:vAlign w:val="center"/>
          </w:tcPr>
          <w:p w14:paraId="760BCD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2D345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DSS, dual connectivity trials</w:t>
            </w:r>
          </w:p>
        </w:tc>
      </w:tr>
      <w:tr w14:paraId="598F63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F123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 Algorithm Bias</w:t>
            </w:r>
          </w:p>
        </w:tc>
        <w:tc>
          <w:tcPr>
            <w:tcW w:w="0" w:type="auto"/>
            <w:vAlign w:val="center"/>
          </w:tcPr>
          <w:p w14:paraId="780F0B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Self-learning errors in dynamic environments</w:t>
            </w:r>
          </w:p>
        </w:tc>
        <w:tc>
          <w:tcPr>
            <w:tcW w:w="0" w:type="auto"/>
            <w:vAlign w:val="center"/>
          </w:tcPr>
          <w:p w14:paraId="6B35EF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11B60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testbeds &amp; rollback protocols</w:t>
            </w:r>
          </w:p>
        </w:tc>
      </w:tr>
      <w:tr w14:paraId="5BCB64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40AE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SDN Interoperability</w:t>
            </w:r>
          </w:p>
        </w:tc>
        <w:tc>
          <w:tcPr>
            <w:tcW w:w="0" w:type="auto"/>
            <w:vAlign w:val="center"/>
          </w:tcPr>
          <w:p w14:paraId="6572E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lock-in or non-standard APIs</w:t>
            </w:r>
          </w:p>
        </w:tc>
        <w:tc>
          <w:tcPr>
            <w:tcW w:w="0" w:type="auto"/>
            <w:vAlign w:val="center"/>
          </w:tcPr>
          <w:p w14:paraId="140B5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F237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Choose ORAN-compliant vendors</w:t>
            </w:r>
          </w:p>
        </w:tc>
      </w:tr>
      <w:tr w14:paraId="1081E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49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data accuracy</w:t>
            </w:r>
          </w:p>
        </w:tc>
        <w:tc>
          <w:tcPr>
            <w:tcW w:w="0" w:type="auto"/>
            <w:vAlign w:val="center"/>
          </w:tcPr>
          <w:p w14:paraId="61F8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 telemetry = bad predictions</w:t>
            </w:r>
          </w:p>
        </w:tc>
        <w:tc>
          <w:tcPr>
            <w:tcW w:w="0" w:type="auto"/>
            <w:vAlign w:val="center"/>
          </w:tcPr>
          <w:p w14:paraId="176D1D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CC8C3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Integrate advanced monitoring probes</w:t>
            </w:r>
          </w:p>
        </w:tc>
      </w:tr>
      <w:tr w14:paraId="2F692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4905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MEC Latency bottlenecks</w:t>
            </w:r>
          </w:p>
        </w:tc>
        <w:tc>
          <w:tcPr>
            <w:tcW w:w="0" w:type="auto"/>
            <w:vAlign w:val="center"/>
          </w:tcPr>
          <w:p w14:paraId="51C1F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cloud edge nodes are poorly deployed</w:t>
            </w:r>
          </w:p>
        </w:tc>
        <w:tc>
          <w:tcPr>
            <w:tcW w:w="0" w:type="auto"/>
            <w:vAlign w:val="center"/>
          </w:tcPr>
          <w:p w14:paraId="04960E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6FB4B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 latency simulation scenarios</w:t>
            </w:r>
          </w:p>
        </w:tc>
      </w:tr>
    </w:tbl>
    <w:p w14:paraId="7D8E6A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Summary</w:t>
      </w:r>
    </w:p>
    <w:p w14:paraId="5F282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technology is </w:t>
      </w:r>
      <w:r>
        <w:rPr>
          <w:rFonts w:ascii="Times New Roman" w:hAnsi="Times New Roman" w:cs="Times New Roman"/>
          <w:b/>
          <w:bCs/>
        </w:rPr>
        <w:t>feasible</w:t>
      </w:r>
      <w:r>
        <w:rPr>
          <w:rFonts w:ascii="Times New Roman" w:hAnsi="Times New Roman" w:cs="Times New Roman"/>
        </w:rPr>
        <w:t xml:space="preserve"> for phased urban-to-rural deployment. However, </w:t>
      </w:r>
      <w:r>
        <w:rPr>
          <w:rFonts w:ascii="Times New Roman" w:hAnsi="Times New Roman" w:cs="Times New Roman"/>
          <w:b/>
          <w:bCs/>
        </w:rPr>
        <w:t>AI/SON integration and rural last-mile</w:t>
      </w:r>
      <w:r>
        <w:rPr>
          <w:rFonts w:ascii="Times New Roman" w:hAnsi="Times New Roman" w:cs="Times New Roman"/>
        </w:rPr>
        <w:t xml:space="preserve"> backhaul pose moderate-to-high risks that must be addressed in early sprints.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78F"/>
    <w:rsid w:val="00180A00"/>
    <w:rsid w:val="00284989"/>
    <w:rsid w:val="0028578E"/>
    <w:rsid w:val="0041278F"/>
    <w:rsid w:val="00D22FF6"/>
    <w:rsid w:val="00DE38F6"/>
    <w:rsid w:val="67F5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272</Words>
  <Characters>1552</Characters>
  <Lines>12</Lines>
  <Paragraphs>3</Paragraphs>
  <TotalTime>0</TotalTime>
  <ScaleCrop>false</ScaleCrop>
  <LinksUpToDate>false</LinksUpToDate>
  <CharactersWithSpaces>1821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2025-07-30T06:12:00Z</dcterms:created>
  <dc:creator>168236-Barbara Malei</dc:creator>
  <cp:lastModifiedBy>ADMIN</cp:lastModifiedBy>
  <dcterms:modified xsi:type="dcterms:W3CDTF">2025-11-08T07:19:55Z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90C8FC5817B94BEF869F198B66A84CAB_12</vt:lpwstr>
  </property>
</Properties>
</file>