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9E5B5">
      <w:pPr>
        <w:rPr>
          <w:rFonts w:ascii="Times New Roman" w:hAnsi="Times New Roman" w:cs="Times New Roman"/>
          <w:b/>
          <w:bCs/>
        </w:rPr>
      </w:pPr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068D55D8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Co</w:t>
      </w:r>
      <w:r>
        <w:rPr>
          <w:rFonts w:hint="default"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</w:rPr>
        <w:t>petitive Benchmarking Report – Peers &amp; Trends</w:t>
      </w:r>
    </w:p>
    <w:p w14:paraId="0330C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Competitive &amp; Trend-Based Benchmarking for 5G Optimization</w:t>
      </w:r>
    </w:p>
    <w:p w14:paraId="7DE2D4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To benchmark Safaricom (or local telco) against </w:t>
      </w:r>
      <w:r>
        <w:rPr>
          <w:rFonts w:ascii="Times New Roman" w:hAnsi="Times New Roman" w:cs="Times New Roman"/>
          <w:b/>
          <w:bCs/>
        </w:rPr>
        <w:t>regional peers</w:t>
      </w:r>
      <w:r>
        <w:rPr>
          <w:rFonts w:ascii="Times New Roman" w:hAnsi="Times New Roman" w:cs="Times New Roman"/>
        </w:rPr>
        <w:t xml:space="preserve"> (e.g., MTN, Airtel Africa, Telkom Kenya) and </w:t>
      </w:r>
      <w:r>
        <w:rPr>
          <w:rFonts w:ascii="Times New Roman" w:hAnsi="Times New Roman" w:cs="Times New Roman"/>
          <w:b/>
          <w:bCs/>
        </w:rPr>
        <w:t>global leaders</w:t>
      </w:r>
      <w:r>
        <w:rPr>
          <w:rFonts w:ascii="Times New Roman" w:hAnsi="Times New Roman" w:cs="Times New Roman"/>
        </w:rPr>
        <w:t xml:space="preserve"> (e.g., SK Telecom, Verizon, Rakuten Mobile) across strategic and technical performance indicators.</w:t>
      </w:r>
    </w:p>
    <w:p w14:paraId="6DD57D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Benchmark Areas: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1197"/>
        <w:gridCol w:w="1455"/>
        <w:gridCol w:w="1039"/>
        <w:gridCol w:w="1552"/>
        <w:gridCol w:w="2451"/>
      </w:tblGrid>
      <w:tr w14:paraId="472613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DE63F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KPI/Area</w:t>
            </w:r>
          </w:p>
        </w:tc>
        <w:tc>
          <w:tcPr>
            <w:tcW w:w="0" w:type="auto"/>
            <w:vAlign w:val="center"/>
          </w:tcPr>
          <w:p w14:paraId="3D7D895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Safaricom</w:t>
            </w:r>
          </w:p>
        </w:tc>
        <w:tc>
          <w:tcPr>
            <w:tcW w:w="0" w:type="auto"/>
            <w:vAlign w:val="center"/>
          </w:tcPr>
          <w:p w14:paraId="47CC85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MTN South Africa</w:t>
            </w:r>
          </w:p>
        </w:tc>
        <w:tc>
          <w:tcPr>
            <w:tcW w:w="0" w:type="auto"/>
            <w:vAlign w:val="center"/>
          </w:tcPr>
          <w:p w14:paraId="148AE4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Airtel Nigeria</w:t>
            </w:r>
          </w:p>
        </w:tc>
        <w:tc>
          <w:tcPr>
            <w:tcW w:w="0" w:type="auto"/>
            <w:vAlign w:val="center"/>
          </w:tcPr>
          <w:p w14:paraId="64FCDC1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Global Leader (SK Telecom)</w:t>
            </w:r>
          </w:p>
        </w:tc>
        <w:tc>
          <w:tcPr>
            <w:tcW w:w="0" w:type="auto"/>
            <w:vAlign w:val="center"/>
          </w:tcPr>
          <w:p w14:paraId="6757754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Gap Insight</w:t>
            </w:r>
          </w:p>
        </w:tc>
      </w:tr>
      <w:tr w14:paraId="37371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8063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5G Penetration (% urban zones)</w:t>
            </w:r>
          </w:p>
        </w:tc>
        <w:tc>
          <w:tcPr>
            <w:tcW w:w="0" w:type="auto"/>
            <w:vAlign w:val="center"/>
          </w:tcPr>
          <w:p w14:paraId="5A4A75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~40%</w:t>
            </w:r>
          </w:p>
        </w:tc>
        <w:tc>
          <w:tcPr>
            <w:tcW w:w="0" w:type="auto"/>
            <w:vAlign w:val="center"/>
          </w:tcPr>
          <w:p w14:paraId="04DC9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~60%</w:t>
            </w:r>
          </w:p>
        </w:tc>
        <w:tc>
          <w:tcPr>
            <w:tcW w:w="0" w:type="auto"/>
            <w:vAlign w:val="center"/>
          </w:tcPr>
          <w:p w14:paraId="73C0B8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~25%</w:t>
            </w:r>
          </w:p>
        </w:tc>
        <w:tc>
          <w:tcPr>
            <w:tcW w:w="0" w:type="auto"/>
            <w:vAlign w:val="center"/>
          </w:tcPr>
          <w:p w14:paraId="4F5B56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&gt;90%</w:t>
            </w:r>
          </w:p>
        </w:tc>
        <w:tc>
          <w:tcPr>
            <w:tcW w:w="0" w:type="auto"/>
            <w:vAlign w:val="center"/>
          </w:tcPr>
          <w:p w14:paraId="72864D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Needs acceleration in metro, university, and stadium zones</w:t>
            </w:r>
          </w:p>
        </w:tc>
      </w:tr>
      <w:tr w14:paraId="6A9A30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C6D6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Latency (ms)</w:t>
            </w:r>
          </w:p>
        </w:tc>
        <w:tc>
          <w:tcPr>
            <w:tcW w:w="0" w:type="auto"/>
            <w:vAlign w:val="center"/>
          </w:tcPr>
          <w:p w14:paraId="57E70F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~20–30ms</w:t>
            </w:r>
          </w:p>
        </w:tc>
        <w:tc>
          <w:tcPr>
            <w:tcW w:w="0" w:type="auto"/>
            <w:vAlign w:val="center"/>
          </w:tcPr>
          <w:p w14:paraId="393906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~15–25ms</w:t>
            </w:r>
          </w:p>
        </w:tc>
        <w:tc>
          <w:tcPr>
            <w:tcW w:w="0" w:type="auto"/>
            <w:vAlign w:val="center"/>
          </w:tcPr>
          <w:p w14:paraId="2A339F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~35ms</w:t>
            </w:r>
          </w:p>
        </w:tc>
        <w:tc>
          <w:tcPr>
            <w:tcW w:w="0" w:type="auto"/>
            <w:vAlign w:val="center"/>
          </w:tcPr>
          <w:p w14:paraId="26D0D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&lt;10ms</w:t>
            </w:r>
          </w:p>
        </w:tc>
        <w:tc>
          <w:tcPr>
            <w:tcW w:w="0" w:type="auto"/>
            <w:vAlign w:val="center"/>
          </w:tcPr>
          <w:p w14:paraId="59E70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MEC integration and fiber rollout required</w:t>
            </w:r>
          </w:p>
        </w:tc>
      </w:tr>
      <w:tr w14:paraId="15A785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E3E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Download Speed (5G)</w:t>
            </w:r>
          </w:p>
        </w:tc>
        <w:tc>
          <w:tcPr>
            <w:tcW w:w="0" w:type="auto"/>
            <w:vAlign w:val="center"/>
          </w:tcPr>
          <w:p w14:paraId="4082C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 Mbps</w:t>
            </w:r>
          </w:p>
        </w:tc>
        <w:tc>
          <w:tcPr>
            <w:tcW w:w="0" w:type="auto"/>
            <w:vAlign w:val="center"/>
          </w:tcPr>
          <w:p w14:paraId="59BDC9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 Mbps</w:t>
            </w:r>
          </w:p>
        </w:tc>
        <w:tc>
          <w:tcPr>
            <w:tcW w:w="0" w:type="auto"/>
            <w:vAlign w:val="center"/>
          </w:tcPr>
          <w:p w14:paraId="129F4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 Mbps</w:t>
            </w:r>
          </w:p>
        </w:tc>
        <w:tc>
          <w:tcPr>
            <w:tcW w:w="0" w:type="auto"/>
            <w:vAlign w:val="center"/>
          </w:tcPr>
          <w:p w14:paraId="438A1E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&gt;1 Gbps</w:t>
            </w:r>
          </w:p>
        </w:tc>
        <w:tc>
          <w:tcPr>
            <w:tcW w:w="0" w:type="auto"/>
            <w:vAlign w:val="center"/>
          </w:tcPr>
          <w:p w14:paraId="6068D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Spectrum refarming and CA optimization needed</w:t>
            </w:r>
          </w:p>
        </w:tc>
      </w:tr>
      <w:tr w14:paraId="7B8D1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15B3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5G Core Architecture</w:t>
            </w:r>
          </w:p>
        </w:tc>
        <w:tc>
          <w:tcPr>
            <w:tcW w:w="0" w:type="auto"/>
            <w:vAlign w:val="center"/>
          </w:tcPr>
          <w:p w14:paraId="42160A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Hybrid (NSA)</w:t>
            </w:r>
          </w:p>
        </w:tc>
        <w:tc>
          <w:tcPr>
            <w:tcW w:w="0" w:type="auto"/>
            <w:vAlign w:val="center"/>
          </w:tcPr>
          <w:p w14:paraId="1C8C95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NSA/Partial SA</w:t>
            </w:r>
          </w:p>
        </w:tc>
        <w:tc>
          <w:tcPr>
            <w:tcW w:w="0" w:type="auto"/>
            <w:vAlign w:val="center"/>
          </w:tcPr>
          <w:p w14:paraId="682C0D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NSA</w:t>
            </w:r>
          </w:p>
        </w:tc>
        <w:tc>
          <w:tcPr>
            <w:tcW w:w="0" w:type="auto"/>
            <w:vAlign w:val="center"/>
          </w:tcPr>
          <w:p w14:paraId="6A5E1E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SA</w:t>
            </w:r>
          </w:p>
        </w:tc>
        <w:tc>
          <w:tcPr>
            <w:tcW w:w="0" w:type="auto"/>
            <w:vAlign w:val="center"/>
          </w:tcPr>
          <w:p w14:paraId="2F6BC9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Prioritize 5GC migration in enterprise zones</w:t>
            </w:r>
          </w:p>
        </w:tc>
      </w:tr>
      <w:tr w14:paraId="586FB5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CBE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Smart Slicing Adoption</w:t>
            </w:r>
          </w:p>
        </w:tc>
        <w:tc>
          <w:tcPr>
            <w:tcW w:w="0" w:type="auto"/>
            <w:vAlign w:val="center"/>
          </w:tcPr>
          <w:p w14:paraId="602AFB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Manual / pilot</w:t>
            </w:r>
          </w:p>
        </w:tc>
        <w:tc>
          <w:tcPr>
            <w:tcW w:w="0" w:type="auto"/>
            <w:vAlign w:val="center"/>
          </w:tcPr>
          <w:p w14:paraId="62E58A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</w:tcPr>
          <w:p w14:paraId="208B2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Minimal</w:t>
            </w:r>
          </w:p>
        </w:tc>
        <w:tc>
          <w:tcPr>
            <w:tcW w:w="0" w:type="auto"/>
            <w:vAlign w:val="center"/>
          </w:tcPr>
          <w:p w14:paraId="1C9421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AI-driven</w:t>
            </w:r>
          </w:p>
        </w:tc>
        <w:tc>
          <w:tcPr>
            <w:tcW w:w="0" w:type="auto"/>
            <w:vAlign w:val="center"/>
          </w:tcPr>
          <w:p w14:paraId="0BC841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 in AI slicing orchestration tools</w:t>
            </w:r>
          </w:p>
        </w:tc>
      </w:tr>
      <w:tr w14:paraId="630F50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82EF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Energy Efficiency Strategy</w:t>
            </w:r>
          </w:p>
        </w:tc>
        <w:tc>
          <w:tcPr>
            <w:tcW w:w="0" w:type="auto"/>
            <w:vAlign w:val="center"/>
          </w:tcPr>
          <w:p w14:paraId="63A942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Reactive</w:t>
            </w:r>
          </w:p>
        </w:tc>
        <w:tc>
          <w:tcPr>
            <w:tcW w:w="0" w:type="auto"/>
            <w:vAlign w:val="center"/>
          </w:tcPr>
          <w:p w14:paraId="4FC68B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optimization</w:t>
            </w:r>
          </w:p>
        </w:tc>
        <w:tc>
          <w:tcPr>
            <w:tcW w:w="0" w:type="auto"/>
            <w:vAlign w:val="center"/>
          </w:tcPr>
          <w:p w14:paraId="2EBCB4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</w:tcPr>
          <w:p w14:paraId="6AF62B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Fully automated</w:t>
            </w:r>
          </w:p>
        </w:tc>
        <w:tc>
          <w:tcPr>
            <w:tcW w:w="0" w:type="auto"/>
            <w:vAlign w:val="center"/>
          </w:tcPr>
          <w:p w14:paraId="4B71CF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 power-saving algorithms + solar sites</w:t>
            </w:r>
          </w:p>
        </w:tc>
      </w:tr>
    </w:tbl>
    <w:p w14:paraId="526BCD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Trend Integration: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4"/>
        <w:gridCol w:w="2611"/>
        <w:gridCol w:w="3815"/>
      </w:tblGrid>
      <w:tr w14:paraId="044F9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7C738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Emerging Trend</w:t>
            </w:r>
          </w:p>
        </w:tc>
        <w:tc>
          <w:tcPr>
            <w:tcW w:w="0" w:type="auto"/>
            <w:vAlign w:val="center"/>
          </w:tcPr>
          <w:p w14:paraId="18C14A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Adoption Status (Safaricom)</w:t>
            </w:r>
          </w:p>
        </w:tc>
        <w:tc>
          <w:tcPr>
            <w:tcW w:w="0" w:type="auto"/>
            <w:vAlign w:val="center"/>
          </w:tcPr>
          <w:p w14:paraId="4C08910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Global Best Practice Example</w:t>
            </w:r>
          </w:p>
        </w:tc>
      </w:tr>
      <w:tr w14:paraId="0CAFD5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6B30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Private 5G Networks</w:t>
            </w:r>
          </w:p>
        </w:tc>
        <w:tc>
          <w:tcPr>
            <w:tcW w:w="0" w:type="auto"/>
            <w:vAlign w:val="center"/>
          </w:tcPr>
          <w:p w14:paraId="59BED3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Limited pilots (industrial parks)</w:t>
            </w:r>
          </w:p>
        </w:tc>
        <w:tc>
          <w:tcPr>
            <w:tcW w:w="0" w:type="auto"/>
            <w:vAlign w:val="center"/>
          </w:tcPr>
          <w:p w14:paraId="38F47E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Rakuten Mobile (Japan), Verizon (USA)</w:t>
            </w:r>
          </w:p>
        </w:tc>
      </w:tr>
      <w:tr w14:paraId="32D6F6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BB43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Network Slicing for SMEs</w:t>
            </w:r>
          </w:p>
        </w:tc>
        <w:tc>
          <w:tcPr>
            <w:tcW w:w="0" w:type="auto"/>
            <w:vAlign w:val="center"/>
          </w:tcPr>
          <w:p w14:paraId="28D8FB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yet commercialized</w:t>
            </w:r>
          </w:p>
        </w:tc>
        <w:tc>
          <w:tcPr>
            <w:tcW w:w="0" w:type="auto"/>
            <w:vAlign w:val="center"/>
          </w:tcPr>
          <w:p w14:paraId="62BAA0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Telecom slicing-as-a-service model</w:t>
            </w:r>
          </w:p>
        </w:tc>
      </w:tr>
      <w:tr w14:paraId="072B72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DB2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AI/ML for Self-Optimizing Networks</w:t>
            </w:r>
          </w:p>
        </w:tc>
        <w:tc>
          <w:tcPr>
            <w:tcW w:w="0" w:type="auto"/>
            <w:vAlign w:val="center"/>
          </w:tcPr>
          <w:p w14:paraId="34E780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Experimental phase</w:t>
            </w:r>
          </w:p>
        </w:tc>
        <w:tc>
          <w:tcPr>
            <w:tcW w:w="0" w:type="auto"/>
            <w:vAlign w:val="center"/>
          </w:tcPr>
          <w:p w14:paraId="4BF88F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NTT DOCOMO's SON &amp; AIOps for load balancing</w:t>
            </w:r>
          </w:p>
        </w:tc>
      </w:tr>
      <w:tr w14:paraId="3F1A20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4D15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Open RAN Deployment</w:t>
            </w:r>
          </w:p>
        </w:tc>
        <w:tc>
          <w:tcPr>
            <w:tcW w:w="0" w:type="auto"/>
            <w:vAlign w:val="center"/>
          </w:tcPr>
          <w:p w14:paraId="4B6A5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</w:tcPr>
          <w:p w14:paraId="3FC779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DISH Network (USA), Telefónica (Spain)</w:t>
            </w:r>
          </w:p>
        </w:tc>
      </w:tr>
      <w:tr w14:paraId="4DB501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9798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Green 5G with Solar + AI</w:t>
            </w:r>
          </w:p>
        </w:tc>
        <w:tc>
          <w:tcPr>
            <w:tcW w:w="0" w:type="auto"/>
            <w:vAlign w:val="center"/>
          </w:tcPr>
          <w:p w14:paraId="0AFF3D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 pilot sites</w:t>
            </w:r>
          </w:p>
        </w:tc>
        <w:tc>
          <w:tcPr>
            <w:tcW w:w="0" w:type="auto"/>
            <w:vAlign w:val="center"/>
          </w:tcPr>
          <w:p w14:paraId="61A74C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MTN Rwanda (green RAN sites), Vodafone Egypt</w:t>
            </w:r>
          </w:p>
        </w:tc>
      </w:tr>
    </w:tbl>
    <w:p w14:paraId="6AF454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&amp; Sources:</w:t>
      </w:r>
    </w:p>
    <w:p w14:paraId="1195B2D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GSMA Intelligence Reports</w:t>
      </w:r>
    </w:p>
    <w:p w14:paraId="1580D05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Ookla Speedtest Intelligence</w:t>
      </w:r>
    </w:p>
    <w:p w14:paraId="476E6CC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OpenSignal Network Experience Reports</w:t>
      </w:r>
    </w:p>
    <w:p w14:paraId="6A634BE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5G World Summit 2024 proceedings</w:t>
      </w:r>
    </w:p>
    <w:p w14:paraId="70FAE4A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 NOC data &amp; site audit reports</w:t>
      </w:r>
    </w:p>
    <w:p w14:paraId="067E109B">
      <w:pPr>
        <w:rPr>
          <w:rFonts w:ascii="Times New Roman" w:hAnsi="Times New Roman" w:cs="Times New Roman"/>
        </w:rPr>
      </w:pPr>
    </w:p>
    <w:p w14:paraId="1ACD9F1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25B65"/>
    <w:multiLevelType w:val="multilevel"/>
    <w:tmpl w:val="58C25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7C3"/>
    <w:rsid w:val="00180A00"/>
    <w:rsid w:val="00284989"/>
    <w:rsid w:val="0028578E"/>
    <w:rsid w:val="00B347C3"/>
    <w:rsid w:val="00D22FF6"/>
    <w:rsid w:val="00DE38F6"/>
    <w:rsid w:val="14A1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1547</Characters>
  <Lines>12</Lines>
  <Paragraphs>3</Paragraphs>
  <TotalTime>0</TotalTime>
  <ScaleCrop>false</ScaleCrop>
  <LinksUpToDate>false</LinksUpToDate>
  <CharactersWithSpaces>1815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2025-07-30T06:27:00Z</dcterms:created>
  <dc:creator>168236-Barbara Malei</dc:creator>
  <cp:lastModifiedBy>ADMIN</cp:lastModifiedBy>
  <dcterms:modified xsi:type="dcterms:W3CDTF">2025-11-08T07:03:38Z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96CB720EFBD741D68E51B9D27A61CD62_12</vt:lpwstr>
  </property>
</Properties>
</file>