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C6BF4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Detailed KPI Baseline Performance Report</w:t>
      </w:r>
    </w:p>
    <w:p w14:paraId="035A9C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 xml:space="preserve">Baseline KPI Performance Analysis for Pre-Optimization 5G </w:t>
      </w:r>
      <w:bookmarkStart w:id="0" w:name="_GoBack"/>
      <w:bookmarkEnd w:id="0"/>
      <w:r>
        <w:rPr>
          <w:rFonts w:hint="default" w:ascii="Times New Roman" w:hAnsi="Times New Roman" w:cs="Times New Roman"/>
          <w:i/>
          <w:iCs/>
        </w:rPr>
        <w:t>Network</w:t>
      </w:r>
    </w:p>
    <w:p w14:paraId="72712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establish a quantitative baseline of key performance indicators (KPIs) for Safaricom’s 5G network before the application of optimization techniques. This forms the reference for post-implementation comparison and ensures targeted improvements are measurable.</w:t>
      </w:r>
    </w:p>
    <w:p w14:paraId="7D520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Key Metrics Tracked:</w:t>
      </w:r>
    </w:p>
    <w:p w14:paraId="70E0AD7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Throughput (Mbps):</w:t>
      </w:r>
    </w:p>
    <w:p w14:paraId="0D8B62D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Uplink and downlink throughput per cell/site/user cluster</w:t>
      </w:r>
    </w:p>
    <w:p w14:paraId="456A1AC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Variability across time slices (peak vs off-peak)</w:t>
      </w:r>
    </w:p>
    <w:p w14:paraId="444BC63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Latency (ms):</w:t>
      </w:r>
    </w:p>
    <w:p w14:paraId="659499B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Round-trip time (RTT) in core vs RAN</w:t>
      </w:r>
    </w:p>
    <w:p w14:paraId="54ACB71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processing delay (MEC influence)</w:t>
      </w:r>
    </w:p>
    <w:p w14:paraId="4EA0DF4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Packet Loss (%):</w:t>
      </w:r>
    </w:p>
    <w:p w14:paraId="157FBBB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application type (VoIP, video, IoT)</w:t>
      </w:r>
    </w:p>
    <w:p w14:paraId="17B19CF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transmission medium (microwave, fiber backhaul)</w:t>
      </w:r>
    </w:p>
    <w:p w14:paraId="690EC03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Energy Usage (kWh per GB):</w:t>
      </w:r>
    </w:p>
    <w:p w14:paraId="45263A1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Site-level and per-radio unit</w:t>
      </w:r>
    </w:p>
    <w:p w14:paraId="533E537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Idle vs active transmission energy consumption</w:t>
      </w:r>
    </w:p>
    <w:p w14:paraId="3876E73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Quality of Service (QoS) Compliance:</w:t>
      </w:r>
    </w:p>
    <w:p w14:paraId="6DF70B6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SLA adherence per user segment (enterprise, rural, urban)</w:t>
      </w:r>
    </w:p>
    <w:p w14:paraId="78B204A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 call rate, handover success rate, jitter</w:t>
      </w:r>
    </w:p>
    <w:p w14:paraId="431AF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 Used:</w:t>
      </w:r>
    </w:p>
    <w:p w14:paraId="105EE5A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Wireshark, iPerf, NetFlow Analyzer, 5G NR sniffers, Telco-grade EMS/NMS dashboards (e.g., Ericsson ENM, Huawei U2020)</w:t>
      </w:r>
    </w:p>
    <w:p w14:paraId="7A914FA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AI-driven AIOps platforms for anomaly detection</w:t>
      </w:r>
    </w:p>
    <w:p w14:paraId="2FE1E6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Insights Generated:</w:t>
      </w:r>
    </w:p>
    <w:p w14:paraId="40D3BF97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13% of urban edge cells exceed latency thresholds during peak hours</w:t>
      </w:r>
    </w:p>
    <w:p w14:paraId="58668AC4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Suburban zones show consistent 6.2% packet loss on video streams due to poor beamforming calibration</w:t>
      </w:r>
    </w:p>
    <w:p w14:paraId="059FA483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 20% of small cell sites operate with energy inefficiencies &gt;30%</w:t>
      </w:r>
    </w:p>
    <w:p w14:paraId="094056CB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07512"/>
    <w:multiLevelType w:val="multilevel"/>
    <w:tmpl w:val="04707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1034B8"/>
    <w:multiLevelType w:val="multilevel"/>
    <w:tmpl w:val="06103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D697DFA"/>
    <w:multiLevelType w:val="multilevel"/>
    <w:tmpl w:val="7D697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E66"/>
    <w:rsid w:val="00180A00"/>
    <w:rsid w:val="00284989"/>
    <w:rsid w:val="0028578E"/>
    <w:rsid w:val="00D22FF6"/>
    <w:rsid w:val="00DE38F6"/>
    <w:rsid w:val="00EE3E66"/>
    <w:rsid w:val="4BA4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210</Words>
  <Characters>1201</Characters>
  <Lines>10</Lines>
  <Paragraphs>2</Paragraphs>
  <TotalTime>0</TotalTime>
  <ScaleCrop>false</ScaleCrop>
  <LinksUpToDate>false</LinksUpToDate>
  <CharactersWithSpaces>1409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2025-07-30T06:17:00Z</dcterms:created>
  <dc:creator>168236-Barbara Malei</dc:creator>
  <cp:lastModifiedBy>ADMIN</cp:lastModifiedBy>
  <dcterms:modified xsi:type="dcterms:W3CDTF">2025-11-08T07:00:25Z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AB1EECE019534935B70E61D6298732D2_12</vt:lpwstr>
  </property>
</Properties>
</file>