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3D8B" w14:textId="77777777" w:rsidR="00007927" w:rsidRPr="007F24EE" w:rsidRDefault="00007927" w:rsidP="00007927">
      <w:pPr>
        <w:rPr>
          <w:b/>
          <w:bCs/>
        </w:rPr>
      </w:pPr>
      <w:r w:rsidRPr="007F24EE">
        <w:rPr>
          <w:b/>
          <w:bCs/>
        </w:rPr>
        <w:t xml:space="preserve"> GDPR &amp; UN Data Governance Alignment Matrix</w:t>
      </w:r>
    </w:p>
    <w:p w14:paraId="47D2E439" w14:textId="77777777" w:rsidR="00007927" w:rsidRPr="007F24EE" w:rsidRDefault="00007927" w:rsidP="00007927">
      <w:r w:rsidRPr="007F24EE">
        <w:rPr>
          <w:b/>
          <w:bCs/>
        </w:rPr>
        <w:t>Description:</w:t>
      </w:r>
      <w:r w:rsidRPr="007F24EE">
        <w:br/>
        <w:t>Produced a detailed compliance matrix mapping GDPR requirements alongside UN data protection policies and donor privacy mandates, ensuring all ERP and CRM data handling practices meet stringent international standards.</w:t>
      </w:r>
    </w:p>
    <w:p w14:paraId="008A39AD" w14:textId="77777777" w:rsidR="00007927" w:rsidRPr="007F24EE" w:rsidRDefault="00007927" w:rsidP="00007927">
      <w:r w:rsidRPr="007F24EE">
        <w:rPr>
          <w:b/>
          <w:bCs/>
        </w:rPr>
        <w:t>Key Elements:</w:t>
      </w:r>
    </w:p>
    <w:p w14:paraId="51D34297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Analyzed personal data flows within SAP and Salesforce systems, identifying data categories subject to GDPR and UN privacy laws.</w:t>
      </w:r>
    </w:p>
    <w:p w14:paraId="30AE8328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Mapped UN’s Privacy Framework requirements including data minimization, purpose limitation, and secure processing.</w:t>
      </w:r>
    </w:p>
    <w:p w14:paraId="31EA74D7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Documented donor-specific privacy clauses, particularly from EU-funded projects and US government grants.</w:t>
      </w:r>
    </w:p>
    <w:p w14:paraId="0A9137BF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Defined encryption standards for data at rest and in transit within cloud and on-premise infrastructure.</w:t>
      </w:r>
    </w:p>
    <w:p w14:paraId="0014537C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Outlined processes for managing data subject rights including access, rectification, and erasure requests in accordance with UN and GDPR policies.</w:t>
      </w:r>
    </w:p>
    <w:p w14:paraId="26D37F42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Developed a data breach incident response plan tailored for multi-agency coordination and communication.</w:t>
      </w:r>
    </w:p>
    <w:p w14:paraId="1AC5DE32" w14:textId="77777777" w:rsidR="00007927" w:rsidRPr="007F24EE" w:rsidRDefault="00007927" w:rsidP="00007927">
      <w:pPr>
        <w:numPr>
          <w:ilvl w:val="0"/>
          <w:numId w:val="1"/>
        </w:numPr>
      </w:pPr>
      <w:r w:rsidRPr="007F24EE">
        <w:t>Scheduled periodic compliance audits and established reporting channels to UN data governance boards.</w:t>
      </w:r>
    </w:p>
    <w:p w14:paraId="33E9F5C3" w14:textId="77777777" w:rsidR="00007927" w:rsidRPr="007F24EE" w:rsidRDefault="00007927" w:rsidP="00007927"/>
    <w:p w14:paraId="31860C43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2FEF"/>
    <w:multiLevelType w:val="multilevel"/>
    <w:tmpl w:val="2E86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27"/>
    <w:rsid w:val="00007927"/>
    <w:rsid w:val="00180A00"/>
    <w:rsid w:val="0028578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9DD0"/>
  <w15:chartTrackingRefBased/>
  <w15:docId w15:val="{A3CDAAE2-C500-4D38-95A7-E818A628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27"/>
  </w:style>
  <w:style w:type="paragraph" w:styleId="Heading1">
    <w:name w:val="heading 1"/>
    <w:basedOn w:val="Normal"/>
    <w:next w:val="Normal"/>
    <w:link w:val="Heading1Char"/>
    <w:uiPriority w:val="9"/>
    <w:qFormat/>
    <w:rsid w:val="0000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2025-08-03T10:55:00Z</dcterms:created>
  <dcterms:modified xsi:type="dcterms:W3CDTF">2025-08-03T10:56:00Z</dcterms:modified>
</cp:coreProperties>
</file>