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0E469BEC" w:rsidR="004E1399" w:rsidRPr="00955293" w:rsidRDefault="003364C9" w:rsidP="006A5BD7">
      <w:pPr>
        <w:spacing w:after="240" w:line="240" w:lineRule="auto"/>
        <w:jc w:val="both"/>
        <w:rPr>
          <w:b/>
          <w:bCs/>
          <w:sz w:val="36"/>
          <w:szCs w:val="36"/>
          <w:lang w:val="en-GB"/>
        </w:rPr>
      </w:pPr>
      <w:ins w:id="0" w:author="Zimmermann, Barbara Andrea (SOZ)" w:date="2019-05-21T17:02:00Z">
        <w:r w:rsidRPr="003364C9">
          <w:rPr>
            <w:b/>
            <w:bCs/>
            <w:sz w:val="36"/>
            <w:szCs w:val="36"/>
            <w:lang w:val="en-GB"/>
          </w:rPr>
          <w:t>The</w:t>
        </w:r>
        <w:r>
          <w:rPr>
            <w:b/>
            <w:bCs/>
            <w:sz w:val="36"/>
            <w:szCs w:val="36"/>
            <w:lang w:val="en-GB"/>
          </w:rPr>
          <w:t xml:space="preserve"> R</w:t>
        </w:r>
        <w:r w:rsidRPr="003364C9">
          <w:rPr>
            <w:b/>
            <w:bCs/>
            <w:sz w:val="36"/>
            <w:szCs w:val="36"/>
            <w:lang w:val="en-GB"/>
          </w:rPr>
          <w:t>elationship between</w:t>
        </w:r>
        <w:r>
          <w:rPr>
            <w:b/>
            <w:bCs/>
            <w:sz w:val="36"/>
            <w:szCs w:val="36"/>
            <w:lang w:val="en-GB"/>
          </w:rPr>
          <w:t xml:space="preserve"> Educational P</w:t>
        </w:r>
        <w:r w:rsidRPr="003364C9">
          <w:rPr>
            <w:b/>
            <w:bCs/>
            <w:sz w:val="36"/>
            <w:szCs w:val="36"/>
            <w:lang w:val="en-GB"/>
          </w:rPr>
          <w:t>athways and</w:t>
        </w:r>
        <w:r w:rsidRPr="003364C9" w:rsidDel="003364C9">
          <w:rPr>
            <w:b/>
            <w:bCs/>
            <w:sz w:val="36"/>
            <w:szCs w:val="36"/>
            <w:lang w:val="en-GB"/>
          </w:rPr>
          <w:t xml:space="preserve"> </w:t>
        </w:r>
      </w:ins>
      <w:del w:id="1" w:author="Zimmermann, Barbara Andrea (SOZ)" w:date="2019-05-21T17:02:00Z">
        <w:r w:rsidR="004E1399" w:rsidRPr="00955293" w:rsidDel="003364C9">
          <w:rPr>
            <w:b/>
            <w:bCs/>
            <w:sz w:val="36"/>
            <w:szCs w:val="36"/>
            <w:lang w:val="en-GB"/>
          </w:rPr>
          <w:delText xml:space="preserve">Do Educational Pathways Moderate the Effects of Social Origin and Gender on </w:delText>
        </w:r>
      </w:del>
      <w:r w:rsidR="004E1399" w:rsidRPr="00955293">
        <w:rPr>
          <w:b/>
          <w:bCs/>
          <w:sz w:val="36"/>
          <w:szCs w:val="36"/>
          <w:lang w:val="en-GB"/>
        </w:rPr>
        <w:t>Occupational Outcomes</w:t>
      </w:r>
      <w:ins w:id="2" w:author="Zimmermann, Barbara Andrea (SOZ)" w:date="2019-05-21T17:03:00Z">
        <w:r>
          <w:rPr>
            <w:b/>
            <w:bCs/>
            <w:sz w:val="36"/>
            <w:szCs w:val="36"/>
            <w:lang w:val="en-GB"/>
          </w:rPr>
          <w:t xml:space="preserve"> at the Intersection of </w:t>
        </w:r>
        <w:r>
          <w:rPr>
            <w:b/>
            <w:bCs/>
            <w:sz w:val="36"/>
            <w:szCs w:val="36"/>
            <w:lang w:val="en-GB"/>
          </w:rPr>
          <w:t>G</w:t>
        </w:r>
        <w:r>
          <w:rPr>
            <w:b/>
            <w:bCs/>
            <w:sz w:val="36"/>
            <w:szCs w:val="36"/>
            <w:lang w:val="en-GB"/>
          </w:rPr>
          <w:t>ender and</w:t>
        </w:r>
        <w:r>
          <w:rPr>
            <w:b/>
            <w:bCs/>
            <w:sz w:val="36"/>
            <w:szCs w:val="36"/>
            <w:lang w:val="en-GB"/>
          </w:rPr>
          <w:t xml:space="preserve"> Social Origin</w:t>
        </w:r>
      </w:ins>
      <w:del w:id="3" w:author="Zimmermann, Barbara Andrea (SOZ)" w:date="2019-05-21T17:02:00Z">
        <w:r w:rsidR="004E1399" w:rsidRPr="00955293" w:rsidDel="003364C9">
          <w:rPr>
            <w:b/>
            <w:bCs/>
            <w:sz w:val="36"/>
            <w:szCs w:val="36"/>
            <w:lang w:val="en-GB"/>
          </w:rPr>
          <w:delText>?</w:delText>
        </w:r>
      </w:del>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77777777" w:rsidR="004E1399" w:rsidRPr="00955293" w:rsidRDefault="004E1399" w:rsidP="006A5BD7">
      <w:pPr>
        <w:spacing w:after="240" w:line="240" w:lineRule="auto"/>
        <w:jc w:val="both"/>
        <w:rPr>
          <w:lang w:val="en-US"/>
        </w:rPr>
      </w:pPr>
      <w:r w:rsidRPr="00955293">
        <w:rPr>
          <w:lang w:val="en-GB"/>
        </w:rPr>
        <w:t>We analyse the effects of social origin and gender on educational pathways and subsequent labour market outcomes. We apply sequence analyses to model the educational trajectories and conduct regression analyses to determine the effects on the individuals own social status and the salary at labour market entry. Our results show, first, that, controlling for reading and mathematics/science skills, educational pathways differ by social origin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YEAR by the author(s); licensee Cogitatio (Lisbon, Portugal). This article is licensed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7E1FCC9B"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t>)advantages. When Ralf Dahrendorf wrote his “plea for an active education policy” under the title “education is a civil right”</w:t>
      </w:r>
      <w:r w:rsidR="00A614AD">
        <w:rPr>
          <w:lang w:val="en-GB"/>
        </w:rPr>
        <w:t xml:space="preserve"> </w:t>
      </w:r>
      <w:r w:rsidR="00A614AD">
        <w:rPr>
          <w:lang w:val="en-GB"/>
        </w:rPr>
        <w:fldChar w:fldCharType="begin"/>
      </w:r>
      <w:r w:rsidR="00833DCA">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833DCA">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Dahrendorf was aware that these groups may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A614AD">
        <w:rPr>
          <w:lang w:val="en-GB"/>
        </w:rPr>
      </w:r>
      <w:r w:rsidR="00A614AD">
        <w:rPr>
          <w:lang w:val="en-GB"/>
        </w:rPr>
        <w:fldChar w:fldCharType="separate"/>
      </w:r>
      <w:r w:rsidR="00833DCA">
        <w:rPr>
          <w:noProof/>
          <w:lang w:val="en-GB"/>
        </w:rPr>
        <w:t>(Allmendinger, Ebner, &amp; Nikolai, 2010; Becker, 2007; see also Peisert, 1967)</w:t>
      </w:r>
      <w:r w:rsidR="00A614AD">
        <w:rPr>
          <w:lang w:val="en-GB"/>
        </w:rPr>
        <w:fldChar w:fldCharType="end"/>
      </w:r>
      <w:r w:rsidRPr="00955293">
        <w:rPr>
          <w:lang w:val="en-GB"/>
        </w:rPr>
        <w:t>. With social changes, such as, for example, the expansion of education, postindustrialisation,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833DCA">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833DCA">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833DCA">
        <w:rPr>
          <w:lang w:val="en-GB"/>
        </w:rPr>
        <w:instrText xml:space="preserve"> ADDIN EN.CITE &lt;EndNote&gt;&lt;Cite&gt;&lt;Author&gt;Buchmann&lt;/Author&gt;&lt;Year&gt;2006&lt;/Year&gt;&lt;RecNum&gt;1628&lt;/RecNum&gt;&lt;DisplayText&gt;(C. Buchmann &amp;amp; DiPrete, 2006; DiPrete &amp;amp;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833DCA">
        <w:rPr>
          <w:noProof/>
          <w:lang w:val="en-GB"/>
        </w:rPr>
        <w:t>(C. Buchmann &amp; DiPrete, 2006; DiPrete &amp; Buchmann, 2013)</w:t>
      </w:r>
      <w:r w:rsidR="00B41B83">
        <w:rPr>
          <w:lang w:val="en-GB"/>
        </w:rPr>
        <w:fldChar w:fldCharType="end"/>
      </w:r>
      <w:r w:rsidRPr="00955293">
        <w:rPr>
          <w:lang w:val="en-GB"/>
        </w:rPr>
        <w:t>. However, this should not hide the fact that first, improved education has not translated into equal work opportunities for men and women</w:t>
      </w:r>
      <w:r w:rsidR="003B08E7">
        <w:rPr>
          <w:lang w:val="en-GB"/>
        </w:rPr>
        <w:t xml:space="preserve"> </w:t>
      </w:r>
      <w:r w:rsidR="003B08E7">
        <w:rPr>
          <w:lang w:val="en-GB"/>
        </w:rPr>
        <w:fldChar w:fldCharType="begin"/>
      </w:r>
      <w:r w:rsidR="00833DCA">
        <w:rPr>
          <w:lang w:val="en-GB"/>
        </w:rPr>
        <w:instrText xml:space="preserve"> ADDIN EN.CITE &lt;EndNote&gt;&lt;Cite&gt;&lt;Author&gt;Blau&lt;/Author&gt;&lt;Year&gt;2017&lt;/Year&gt;&lt;RecNum&gt;1609&lt;/RecNum&gt;&lt;DisplayText&gt;(Blau &amp;amp;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833DCA">
        <w:rPr>
          <w:noProof/>
          <w:lang w:val="en-GB"/>
        </w:rPr>
        <w:t xml:space="preserve">(Blau </w:t>
      </w:r>
      <w:r w:rsidR="00833DCA">
        <w:rPr>
          <w:noProof/>
          <w:lang w:val="en-GB"/>
        </w:rPr>
        <w:lastRenderedPageBreak/>
        <w:t>&amp;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833DCA">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833DCA">
        <w:rPr>
          <w:noProof/>
          <w:lang w:val="en-GB"/>
        </w:rPr>
        <w:t>(Mood, 2017)</w:t>
      </w:r>
      <w:r w:rsidR="003B08E7">
        <w:rPr>
          <w:lang w:val="en-GB"/>
        </w:rPr>
        <w:fldChar w:fldCharType="end"/>
      </w:r>
      <w:r w:rsidRPr="00955293">
        <w:rPr>
          <w:lang w:val="en-GB"/>
        </w:rPr>
        <w:t>.</w:t>
      </w:r>
    </w:p>
    <w:p w14:paraId="33C3D4CF" w14:textId="1B978A90" w:rsidR="004E1399" w:rsidRPr="00955293" w:rsidRDefault="004E1399" w:rsidP="006A5BD7">
      <w:pPr>
        <w:spacing w:after="240" w:line="240" w:lineRule="auto"/>
        <w:jc w:val="both"/>
        <w:rPr>
          <w:lang w:val="en-GB"/>
        </w:rPr>
      </w:pPr>
      <w:r w:rsidRPr="00785DFA">
        <w:rPr>
          <w:highlight w:val="yellow"/>
          <w:lang w:val="en-GB"/>
        </w:rPr>
        <w:t xml:space="preserve">In the current </w:t>
      </w:r>
      <w:r w:rsidR="00785DFA" w:rsidRPr="00785DFA">
        <w:rPr>
          <w:highlight w:val="yellow"/>
          <w:lang w:val="en-GB"/>
        </w:rPr>
        <w:t>research,</w:t>
      </w:r>
      <w:r w:rsidRPr="00785DFA">
        <w:rPr>
          <w:highlight w:val="yellow"/>
          <w:lang w:val="en-GB"/>
        </w:rPr>
        <w:t xml:space="preserve"> we are interested in how social origin and gender interact and shape the early life courses from the end of compulsory school to the first years in the l</w:t>
      </w:r>
      <w:r w:rsidR="00DA61D3" w:rsidRPr="00785DFA">
        <w:rPr>
          <w:highlight w:val="yellow"/>
          <w:lang w:val="en-GB"/>
        </w:rPr>
        <w:t>abour market. The question</w:t>
      </w:r>
      <w:r w:rsidRPr="00785DFA">
        <w:rPr>
          <w:highlight w:val="yellow"/>
          <w:lang w:val="en-GB"/>
        </w:rPr>
        <w:t xml:space="preserve"> we try to answer in this article</w:t>
      </w:r>
      <w:r w:rsidR="00DA61D3" w:rsidRPr="00785DFA">
        <w:rPr>
          <w:highlight w:val="yellow"/>
          <w:lang w:val="en-GB"/>
        </w:rPr>
        <w:t xml:space="preserve"> is, </w:t>
      </w:r>
      <w:r w:rsidR="00785DFA">
        <w:rPr>
          <w:highlight w:val="yellow"/>
          <w:lang w:val="en-GB"/>
        </w:rPr>
        <w:t>whether</w:t>
      </w:r>
      <w:r w:rsidR="00DA61D3" w:rsidRPr="00785DFA">
        <w:rPr>
          <w:highlight w:val="yellow"/>
          <w:lang w:val="en-GB"/>
        </w:rPr>
        <w:t xml:space="preserve"> there</w:t>
      </w:r>
      <w:r w:rsidRPr="00785DFA">
        <w:rPr>
          <w:highlight w:val="yellow"/>
          <w:lang w:val="en-GB"/>
        </w:rPr>
        <w:t xml:space="preserve"> </w:t>
      </w:r>
      <w:r w:rsidR="00DA61D3" w:rsidRPr="00785DFA">
        <w:rPr>
          <w:highlight w:val="yellow"/>
          <w:lang w:val="en-GB"/>
        </w:rPr>
        <w:t>are differences in</w:t>
      </w:r>
      <w:r w:rsidRPr="00785DFA">
        <w:rPr>
          <w:highlight w:val="yellow"/>
          <w:lang w:val="en-GB"/>
        </w:rPr>
        <w:t xml:space="preserve"> educational pathways </w:t>
      </w:r>
      <w:r w:rsidR="00DA61D3" w:rsidRPr="00785DFA">
        <w:rPr>
          <w:highlight w:val="yellow"/>
          <w:lang w:val="en-GB"/>
        </w:rPr>
        <w:t>and in</w:t>
      </w:r>
      <w:r w:rsidRPr="00785DFA">
        <w:rPr>
          <w:highlight w:val="yellow"/>
          <w:lang w:val="en-GB"/>
        </w:rPr>
        <w:t xml:space="preserve"> the early working life, namely occupational status and income</w:t>
      </w:r>
      <w:r w:rsidR="00DA61D3" w:rsidRPr="00785DFA">
        <w:rPr>
          <w:highlight w:val="yellow"/>
          <w:lang w:val="en-GB"/>
        </w:rPr>
        <w:t>, by social origin and gender jointly</w:t>
      </w:r>
      <w:r w:rsidRPr="00785DFA">
        <w:rPr>
          <w:highlight w:val="yellow"/>
          <w:lang w:val="en-GB"/>
        </w:rPr>
        <w:t xml:space="preserve">. </w:t>
      </w:r>
      <w:r w:rsidR="003364C9" w:rsidRPr="00785DFA">
        <w:rPr>
          <w:highlight w:val="yellow"/>
          <w:lang w:val="en-GB"/>
        </w:rPr>
        <w:t>Our main interest lies in describing the overall relationship between social origin and gender, and the educational trajectories as well as subsequent labour market outcomes</w:t>
      </w:r>
      <w:r w:rsidR="00785DFA">
        <w:rPr>
          <w:highlight w:val="yellow"/>
          <w:lang w:val="en-GB"/>
        </w:rPr>
        <w:t>, rather than in identifying causal mechanisms that might be responsible for these differences</w:t>
      </w:r>
      <w:r w:rsidR="003364C9" w:rsidRPr="00785DFA">
        <w:rPr>
          <w:highlight w:val="yellow"/>
          <w:lang w:val="en-GB"/>
        </w:rPr>
        <w:t>.</w:t>
      </w:r>
      <w:r w:rsidR="003364C9">
        <w:rPr>
          <w:lang w:val="en-GB"/>
        </w:rPr>
        <w:t xml:space="preserve"> </w:t>
      </w:r>
      <w:r w:rsidRPr="00955293">
        <w:rPr>
          <w:lang w:val="en-GB"/>
        </w:rPr>
        <w:t>Theoretically, we combine two lines of argumentation: First, we draw on the literature on primary and secondary effects of origin</w:t>
      </w:r>
      <w:r w:rsidR="001E46F6">
        <w:rPr>
          <w:lang w:val="en-GB"/>
        </w:rPr>
        <w:t xml:space="preserve"> </w:t>
      </w:r>
      <w:r w:rsidR="001E46F6">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 </w:instrText>
      </w:r>
      <w:r w:rsidR="00833DCA">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EN.CITE.DATA </w:instrText>
      </w:r>
      <w:r w:rsidR="00833DCA">
        <w:rPr>
          <w:lang w:val="en-GB"/>
        </w:rPr>
      </w:r>
      <w:r w:rsidR="00833DCA">
        <w:rPr>
          <w:lang w:val="en-GB"/>
        </w:rPr>
        <w:fldChar w:fldCharType="end"/>
      </w:r>
      <w:r w:rsidR="001E46F6">
        <w:rPr>
          <w:lang w:val="en-GB"/>
        </w:rPr>
      </w:r>
      <w:r w:rsidR="001E46F6">
        <w:rPr>
          <w:lang w:val="en-GB"/>
        </w:rPr>
        <w:fldChar w:fldCharType="separate"/>
      </w:r>
      <w:r w:rsidR="00833DCA">
        <w:rPr>
          <w:noProof/>
          <w:lang w:val="en-GB"/>
        </w:rPr>
        <w:t>(Boudon, 1974; Bourdieu &amp; Passeron, 1971; Breen &amp; Goldthorpe, 1997)</w:t>
      </w:r>
      <w:r w:rsidR="001E46F6">
        <w:rPr>
          <w:lang w:val="en-GB"/>
        </w:rPr>
        <w:fldChar w:fldCharType="end"/>
      </w:r>
      <w:r w:rsidRPr="00955293">
        <w:rPr>
          <w:lang w:val="en-GB"/>
        </w:rPr>
        <w:t xml:space="preserve">. Second, we complement this with theories on gender segregation in education and employment (Charles &amp; Bradley, 2002, 2009). Throughout the paper we adopt an intersectional approach, that considers different dimensions of social inequality simultaneously </w:t>
      </w:r>
      <w:r w:rsidRPr="00955293">
        <w:rPr>
          <w:noProof/>
          <w:lang w:val="en-GB"/>
        </w:rPr>
        <w:t>(McCall, 2005)</w:t>
      </w:r>
      <w:r w:rsidRPr="00955293">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r w:rsidR="00785DFA">
        <w:rPr>
          <w:lang w:val="en-GB"/>
        </w:rPr>
        <w:t xml:space="preserve"> </w:t>
      </w:r>
      <w:r w:rsidR="00785DFA">
        <w:rPr>
          <w:highlight w:val="yellow"/>
          <w:lang w:val="en-GB"/>
        </w:rPr>
        <w:t xml:space="preserve">Our article has two main strengths compared to previous research, it </w:t>
      </w:r>
      <w:r w:rsidR="00785DFA" w:rsidRPr="00785DFA">
        <w:rPr>
          <w:highlight w:val="yellow"/>
          <w:lang w:val="en-GB"/>
        </w:rPr>
        <w:t>give</w:t>
      </w:r>
      <w:r w:rsidR="00785DFA">
        <w:rPr>
          <w:highlight w:val="yellow"/>
          <w:lang w:val="en-GB"/>
        </w:rPr>
        <w:t>s</w:t>
      </w:r>
      <w:r w:rsidR="00785DFA" w:rsidRPr="00785DFA">
        <w:rPr>
          <w:highlight w:val="yellow"/>
          <w:lang w:val="en-GB"/>
        </w:rPr>
        <w:t xml:space="preserve"> a more complete overview over the entire post-compulsory educational trajectory and the early years of the working life</w:t>
      </w:r>
      <w:r w:rsidR="00785DFA">
        <w:rPr>
          <w:highlight w:val="yellow"/>
          <w:lang w:val="en-GB"/>
        </w:rPr>
        <w:t xml:space="preserve"> and it systematically incorporates an intersectional approach by analysing gender and social origin jointly</w:t>
      </w:r>
      <w:r w:rsidR="00785DFA" w:rsidRPr="00785DFA">
        <w:rPr>
          <w:highlight w:val="yellow"/>
          <w:lang w:val="en-GB"/>
        </w:rPr>
        <w:t>.</w:t>
      </w:r>
      <w:r w:rsidR="00785DFA">
        <w:rPr>
          <w:lang w:val="en-GB"/>
        </w:rPr>
        <w:t xml:space="preserve"> </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2FD55B81"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001447B0">
        <w:rPr>
          <w:lang w:val="en-GB"/>
        </w:rPr>
        <w:fldChar w:fldCharType="begin"/>
      </w:r>
      <w:r w:rsidR="001447B0">
        <w:rPr>
          <w:lang w:val="en-GB"/>
        </w:rPr>
        <w:instrText xml:space="preserve"> ADDIN EN.CITE &lt;EndNote&gt;&lt;Cite AuthorYear="1"&gt;&lt;Author&gt;Boudon&lt;/Author&gt;&lt;Year&gt;1974&lt;/Year&gt;&lt;RecNum&gt;1146&lt;/RecNum&gt;&lt;DisplayText&gt;Boudon (1974)&lt;/DisplayText&gt;&lt;record&gt;&lt;rec-number&gt;1146&lt;/rec-number&gt;&lt;foreign-keys&gt;&lt;key app="EN" db-id="wzre9as2u2ffe2e0tf2vtwr1wsd02s5x5zr0" timestamp="1504002020"&gt;1146&lt;/key&gt;&lt;/foreign-keys&gt;&lt;ref-type name="Book"&gt;6&lt;/ref-type&gt;&lt;contributors&gt;&lt;authors&gt;&lt;author&gt;Boudon, Raymond&lt;/author&gt;&lt;/authors&gt;&lt;/contributors&gt;&lt;titles&gt;&lt;title&gt;Education, opportunity and social inequality: changing prospects in western society&lt;/title&gt;&lt;secondary-title&gt;Wiley series in urban research&lt;/secondary-title&gt;&lt;/titles&gt;&lt;pages&gt;220&lt;/pages&gt;&lt;keywords&gt;&lt;keyword&gt;Bildung&lt;/keyword&gt;&lt;keyword&gt;Chancengleichheit&lt;/keyword&gt;&lt;keyword&gt;Soziale Ungleichheit&lt;/keyword&gt;&lt;/keywords&gt;&lt;dates&gt;&lt;year&gt;1974&lt;/year&gt;&lt;/dates&gt;&lt;pub-location&gt;New York&lt;/pub-location&gt;&lt;publisher&gt;John Wiley &amp;amp; Sons Inc&lt;/publisher&gt;&lt;isbn&gt;0471091057&lt;/isbn&gt;&lt;call-num&gt;B500 VRF_DU_2000 30&amp;#xD;B500 VRF_DU_2000 30+3&amp;#xD;B500 VRF_DU_2000 30+2&amp;#xD;B500 VRF_DU_2000 30+4&lt;/call-num&gt;&lt;urls&gt;&lt;/urls&gt;&lt;/record&gt;&lt;/Cite&gt;&lt;/EndNote&gt;</w:instrText>
      </w:r>
      <w:r w:rsidR="001447B0">
        <w:rPr>
          <w:lang w:val="en-GB"/>
        </w:rPr>
        <w:fldChar w:fldCharType="separate"/>
      </w:r>
      <w:r w:rsidR="001447B0">
        <w:rPr>
          <w:noProof/>
          <w:lang w:val="en-GB"/>
        </w:rPr>
        <w:t>Boudon (1974)</w:t>
      </w:r>
      <w:r w:rsidR="001447B0">
        <w:rPr>
          <w:lang w:val="en-GB"/>
        </w:rPr>
        <w:fldChar w:fldCharType="end"/>
      </w:r>
      <w:r w:rsidRPr="00955293">
        <w:rPr>
          <w:lang w:val="en-GB"/>
        </w:rPr>
        <w:t xml:space="preserve"> and further developed by many others</w:t>
      </w:r>
      <w:r w:rsidR="001447B0">
        <w:rPr>
          <w:lang w:val="en-GB"/>
        </w:rPr>
        <w:t xml:space="preserve"> </w:t>
      </w:r>
      <w:r w:rsidR="009734A7">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 </w:instrText>
      </w:r>
      <w:r w:rsidR="00833DCA">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EN.CITE.DATA </w:instrText>
      </w:r>
      <w:r w:rsidR="00833DCA">
        <w:rPr>
          <w:lang w:val="en-GB"/>
        </w:rPr>
      </w:r>
      <w:r w:rsidR="00833DCA">
        <w:rPr>
          <w:lang w:val="en-GB"/>
        </w:rPr>
        <w:fldChar w:fldCharType="end"/>
      </w:r>
      <w:r w:rsidR="009734A7">
        <w:rPr>
          <w:lang w:val="en-GB"/>
        </w:rPr>
      </w:r>
      <w:r w:rsidR="009734A7">
        <w:rPr>
          <w:lang w:val="en-GB"/>
        </w:rPr>
        <w:fldChar w:fldCharType="separate"/>
      </w:r>
      <w:r w:rsidR="00833DCA">
        <w:rPr>
          <w:noProof/>
          <w:lang w:val="en-GB"/>
        </w:rPr>
        <w:t>(Breen &amp; Goldthorpe, 1997; Erikson &amp; Jonsson, 1996)</w:t>
      </w:r>
      <w:r w:rsidR="009734A7">
        <w:rPr>
          <w:lang w:val="en-GB"/>
        </w:rPr>
        <w:fldChar w:fldCharType="end"/>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00115800">
        <w:rPr>
          <w:lang w:val="en-GB"/>
        </w:rPr>
        <w:fldChar w:fldCharType="begin"/>
      </w:r>
      <w:r w:rsidR="00833DCA">
        <w:rPr>
          <w:lang w:val="en-GB"/>
        </w:rPr>
        <w:instrText xml:space="preserve"> ADDIN EN.CITE &lt;EndNote&gt;&lt;Cite&gt;&lt;Author&gt;Becker&lt;/Author&gt;&lt;Year&gt;2010&lt;/Year&gt;&lt;RecNum&gt;1096&lt;/RecNum&gt;&lt;DisplayText&gt;(Becker &amp;amp; Lauterbach, 2010)&lt;/DisplayText&gt;&lt;record&gt;&lt;rec-number&gt;1096&lt;/rec-number&gt;&lt;foreign-keys&gt;&lt;key app="EN" db-id="wzre9as2u2ffe2e0tf2vtwr1wsd02s5x5zr0" timestamp="1504002013"&gt;1096&lt;/key&gt;&lt;/foreign-keys&gt;&lt;ref-type name="Book"&gt;6&lt;/ref-type&gt;&lt;contributors&gt;&lt;authors&gt;&lt;author&gt;Becker, Rolf&lt;/author&gt;&lt;author&gt;Wolfgang Lauterbach&lt;/author&gt;&lt;/authors&gt;&lt;/contributors&gt;&lt;titles&gt;&lt;title&gt;Bildung als Privileg: Erklärungen und Befunde zu den Ursachen der Bildungsungleichheit&lt;/title&gt;&lt;/titles&gt;&lt;pages&gt;Online-Datei&lt;/pages&gt;&lt;edition&gt;4.&lt;/edition&gt;&lt;keywords&gt;&lt;keyword&gt;Bildung&lt;/keyword&gt;&lt;keyword&gt;Chancengleichheit&lt;/keyword&gt;&lt;keyword&gt;Soziale Ungleichheit&lt;/keyword&gt;&lt;keyword&gt;Aufsatzsammlung&lt;/keyword&gt;&lt;keyword&gt;Online-Publikation&lt;/keyword&gt;&lt;keyword&gt;Social sciences&lt;/keyword&gt;&lt;keyword&gt;Sociology&lt;/keyword&gt;&lt;keyword&gt;Sociology of Education&lt;/keyword&gt;&lt;/keywords&gt;&lt;dates&gt;&lt;year&gt;2010&lt;/year&gt;&lt;/dates&gt;&lt;pub-location&gt;Wiesbaden&lt;/pub-location&gt;&lt;publisher&gt;VS Verlag für Sozialwissenschaften&lt;/publisher&gt;&lt;isbn&gt;9783531924847&amp;#xD;9783531172415&lt;/isbn&gt;&lt;call-num&gt;A145&amp;#xD;B405&lt;/call-num&gt;&lt;urls&gt;&lt;related-urls&gt;&lt;url&gt;http://sfx.metabib.ch/sfx_locater?sid=ALEPH:DSV01&amp;amp;genre=book&amp;amp;isbn=978-3-531-92484-7&amp;amp;id=doi:10.1007/978-3-531-92484-7&lt;/url&gt;&lt;/related-urls&gt;&lt;/urls&gt;&lt;/record&gt;&lt;/Cite&gt;&lt;/EndNote&gt;</w:instrText>
      </w:r>
      <w:r w:rsidR="00115800">
        <w:rPr>
          <w:lang w:val="en-GB"/>
        </w:rPr>
        <w:fldChar w:fldCharType="separate"/>
      </w:r>
      <w:r w:rsidR="00833DCA">
        <w:rPr>
          <w:noProof/>
          <w:lang w:val="en-GB"/>
        </w:rPr>
        <w:t>(Becker &amp; Lauterbach, 2010)</w:t>
      </w:r>
      <w:r w:rsidR="00115800">
        <w:rPr>
          <w:lang w:val="en-GB"/>
        </w:rPr>
        <w:fldChar w:fldCharType="end"/>
      </w:r>
      <w:r w:rsidR="00115800">
        <w:rPr>
          <w:lang w:val="en-GB"/>
        </w:rPr>
        <w:t xml:space="preserve">. </w:t>
      </w:r>
      <w:r w:rsidRPr="00955293">
        <w:rPr>
          <w:lang w:val="en-US"/>
        </w:rPr>
        <w:t>In addition to these primary effects, children from higher social origin reach higher levels of educational attainment, even if they perform equally as their counterparts from lower social origin. In the literature, these secondary effects of social origin have been explained by differential decisions based on rational cost-benefits calculations.</w:t>
      </w:r>
      <w:r w:rsidRPr="00955293">
        <w:rPr>
          <w:lang w:val="en-GB"/>
        </w:rPr>
        <w:t xml:space="preserve"> According to the relative risks aversion model</w:t>
      </w:r>
      <w:r w:rsidR="00115800">
        <w:rPr>
          <w:lang w:val="en-GB"/>
        </w:rPr>
        <w:t xml:space="preserve"> </w:t>
      </w:r>
      <w:r w:rsidR="00115800">
        <w:rPr>
          <w:lang w:val="en-GB"/>
        </w:rPr>
        <w:fldChar w:fldCharType="begin"/>
      </w:r>
      <w:r w:rsidR="00833DCA">
        <w:rPr>
          <w:lang w:val="en-GB"/>
        </w:rPr>
        <w:instrText xml:space="preserve"> ADDIN EN.CITE &lt;EndNote&gt;&lt;Cite&gt;&lt;Author&gt;Breen&lt;/Author&gt;&lt;Year&gt;1997&lt;/Year&gt;&lt;RecNum&gt;1164&lt;/RecNum&gt;&lt;DisplayText&gt;(Breen &amp;amp; Goldthorpe, 1997)&lt;/DisplayText&gt;&lt;record&gt;&lt;rec-number&gt;1164&lt;/rec-number&gt;&lt;foreign-keys&gt;&lt;key app="EN" db-id="wzre9as2u2ffe2e0tf2vtwr1wsd02s5x5zr0" timestamp="1504002021"&gt;1164&lt;/key&gt;&lt;/foreign-keys&gt;&lt;ref-type name="Journal Article"&gt;17&lt;/ref-type&gt;&lt;contributors&gt;&lt;authors&gt;&lt;author&gt;Breen, Richard&lt;/author&gt;&lt;author&gt;Goldthorpe, John H&lt;/author&gt;&lt;/authors&gt;&lt;/contributors&gt;&lt;titles&gt;&lt;title&gt;Explaining educational differentials towards a formal rational action theory&lt;/title&gt;&lt;secondary-title&gt;Rationality and Society&lt;/secondary-title&gt;&lt;/titles&gt;&lt;periodical&gt;&lt;full-title&gt;Rationality and society&lt;/full-title&gt;&lt;/periodical&gt;&lt;pages&gt;275-305&lt;/pages&gt;&lt;volume&gt;9&lt;/volume&gt;&lt;number&gt;3&lt;/number&gt;&lt;dates&gt;&lt;year&gt;1997&lt;/year&gt;&lt;/dates&gt;&lt;isbn&gt;1043-4631&lt;/isbn&gt;&lt;urls&gt;&lt;/urls&gt;&lt;/record&gt;&lt;/Cite&gt;&lt;/EndNote&gt;</w:instrText>
      </w:r>
      <w:r w:rsidR="00115800">
        <w:rPr>
          <w:lang w:val="en-GB"/>
        </w:rPr>
        <w:fldChar w:fldCharType="separate"/>
      </w:r>
      <w:r w:rsidR="00833DCA">
        <w:rPr>
          <w:noProof/>
          <w:lang w:val="en-GB"/>
        </w:rPr>
        <w:t>(Breen &amp; Goldthorpe, 1997)</w:t>
      </w:r>
      <w:r w:rsidR="00115800">
        <w:rPr>
          <w:lang w:val="en-GB"/>
        </w:rPr>
        <w:fldChar w:fldCharType="end"/>
      </w:r>
      <w:r w:rsidRPr="00955293">
        <w:rPr>
          <w:lang w:val="en-GB"/>
        </w:rPr>
        <w:t xml:space="preserve">,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0081750E">
        <w:rPr>
          <w:lang w:val="en-GB"/>
        </w:rPr>
        <w:fldChar w:fldCharType="begin"/>
      </w:r>
      <w:r w:rsidR="00833DCA">
        <w:rPr>
          <w:lang w:val="en-GB"/>
        </w:rPr>
        <w:instrText xml:space="preserve"> ADDIN EN.CITE &lt;EndNote&gt;&lt;Cite&gt;&lt;Author&gt;Paulus&lt;/Author&gt;&lt;Year&gt;2007&lt;/Year&gt;&lt;RecNum&gt;1663&lt;/RecNum&gt;&lt;DisplayText&gt;(Paulus &amp;amp; Blossfeld, 2007)&lt;/DisplayText&gt;&lt;record&gt;&lt;rec-number&gt;1663&lt;/rec-number&gt;&lt;foreign-keys&gt;&lt;key app="EN" db-id="wzre9as2u2ffe2e0tf2vtwr1wsd02s5x5zr0" timestamp="1544563947"&gt;1663&lt;/key&gt;&lt;/foreign-keys&gt;&lt;ref-type name="Journal Article"&gt;17&lt;/ref-type&gt;&lt;contributors&gt;&lt;authors&gt;&lt;author&gt;Paulus, Wiebke&lt;/author&gt;&lt;author&gt;Blossfeld, Hans-Peter&lt;/author&gt;&lt;/authors&gt;&lt;/contributors&gt;&lt;titles&gt;&lt;title&gt;Schichtspezifische Präferenzen oder sozioökonomisches Entscheidungskalkül? Zur Rolle elterlicher Bildungsaspirationen im Entscheidungsprozess beim Übergang von der Grundschule in die Sekundarstufe&lt;/title&gt;&lt;secondary-title&gt;Zeitschrift für Pädagogik&lt;/secondary-title&gt;&lt;/titles&gt;&lt;periodical&gt;&lt;full-title&gt;Zeitschrift für Pädagogik&lt;/full-title&gt;&lt;/periodical&gt;&lt;pages&gt;491-508&lt;/pages&gt;&lt;volume&gt;53&lt;/volume&gt;&lt;number&gt;4&lt;/number&gt;&lt;dates&gt;&lt;year&gt;2007&lt;/year&gt;&lt;/dates&gt;&lt;urls&gt;&lt;/urls&gt;&lt;/record&gt;&lt;/Cite&gt;&lt;/EndNote&gt;</w:instrText>
      </w:r>
      <w:r w:rsidR="0081750E">
        <w:rPr>
          <w:lang w:val="en-GB"/>
        </w:rPr>
        <w:fldChar w:fldCharType="separate"/>
      </w:r>
      <w:r w:rsidR="00833DCA">
        <w:rPr>
          <w:noProof/>
          <w:lang w:val="en-GB"/>
        </w:rPr>
        <w:t>(Paulus &amp; Blossfeld, 2007)</w:t>
      </w:r>
      <w:r w:rsidR="0081750E">
        <w:rPr>
          <w:lang w:val="en-GB"/>
        </w:rPr>
        <w:fldChar w:fldCharType="end"/>
      </w:r>
      <w:r w:rsidRPr="00955293">
        <w:rPr>
          <w:lang w:val="en-GB"/>
        </w:rPr>
        <w:t>.</w:t>
      </w:r>
    </w:p>
    <w:p w14:paraId="69A7FA00" w14:textId="2B6A3F8C" w:rsidR="004E1399" w:rsidRPr="00955293" w:rsidRDefault="004E1399" w:rsidP="006A5BD7">
      <w:pPr>
        <w:spacing w:after="240" w:line="240" w:lineRule="auto"/>
        <w:jc w:val="both"/>
        <w:rPr>
          <w:lang w:val="en-GB"/>
        </w:rPr>
      </w:pPr>
      <w:r w:rsidRPr="00955293">
        <w:rPr>
          <w:lang w:val="en-GB"/>
        </w:rPr>
        <w:t>A few studies have taken an intersectional approach to analyse effects of different ascriptive characteristics on school performance (primary effects). They mainly find that especially boys with a low socioeconomic family background perform worse at school</w:t>
      </w:r>
      <w:r w:rsidR="00CB4237">
        <w:rPr>
          <w:lang w:val="en-GB"/>
        </w:rPr>
        <w:t xml:space="preserve"> </w:t>
      </w:r>
      <w:r w:rsidR="00CB4237">
        <w:rPr>
          <w:lang w:val="en-GB"/>
        </w:rPr>
        <w:fldChar w:fldCharType="begin"/>
      </w:r>
      <w:r w:rsidR="00833DCA">
        <w:rPr>
          <w:lang w:val="en-GB"/>
        </w:rPr>
        <w:instrText xml:space="preserve"> ADDIN EN.CITE &lt;EndNote&gt;&lt;Cite&gt;&lt;Author&gt;Entwisle&lt;/Author&gt;&lt;Year&gt;2007&lt;/Year&gt;&lt;RecNum&gt;1673&lt;/RecNum&gt;&lt;DisplayText&gt;(Entwisle, Alexander, &amp;amp; Olson, 2007; Glaesser &amp;amp; Cooper, 2012)&lt;/DisplayText&gt;&lt;record&gt;&lt;rec-number&gt;1673&lt;/rec-number&gt;&lt;foreign-keys&gt;&lt;key app="EN" db-id="wzre9as2u2ffe2e0tf2vtwr1wsd02s5x5zr0" timestamp="1546192810"&gt;1673&lt;/key&gt;&lt;/foreign-keys&gt;&lt;ref-type name="Journal Article"&gt;17&lt;/ref-type&gt;&lt;contributors&gt;&lt;authors&gt;&lt;author&gt;Entwisle, Doris R.&lt;/author&gt;&lt;author&gt;Alexander, Karl L.&lt;/author&gt;&lt;author&gt;Olson, Linda S.&lt;/author&gt;&lt;/authors&gt;&lt;/contributors&gt;&lt;titles&gt;&lt;title&gt;Early schooling: the handicap of being poor and male&lt;/title&gt;&lt;secondary-title&gt;Sociology of Education&lt;/secondary-title&gt;&lt;/titles&gt;&lt;periodical&gt;&lt;full-title&gt;Sociology of Education&lt;/full-title&gt;&lt;/periodical&gt;&lt;pages&gt;114-138&lt;/pages&gt;&lt;volume&gt;80&lt;/volume&gt;&lt;number&gt;2&lt;/number&gt;&lt;dates&gt;&lt;year&gt;2007&lt;/year&gt;&lt;/dates&gt;&lt;isbn&gt;0038-0407&lt;/isbn&gt;&lt;urls&gt;&lt;/urls&gt;&lt;/record&gt;&lt;/Cite&gt;&lt;Cite&gt;&lt;Author&gt;Glaesser&lt;/Author&gt;&lt;Year&gt;2012&lt;/Year&gt;&lt;RecNum&gt;1674&lt;/RecNum&gt;&lt;record&gt;&lt;rec-number&gt;1674&lt;/rec-number&gt;&lt;foreign-keys&gt;&lt;key app="EN" db-id="wzre9as2u2ffe2e0tf2vtwr1wsd02s5x5zr0" timestamp="1546193158"&gt;1674&lt;/key&gt;&lt;/foreign-keys&gt;&lt;ref-type name="Journal Article"&gt;17&lt;/ref-type&gt;&lt;contributors&gt;&lt;authors&gt;&lt;author&gt;Glaesser, Judith&lt;/author&gt;&lt;author&gt;Cooper, Barry&lt;/author&gt;&lt;/authors&gt;&lt;/contributors&gt;&lt;titles&gt;&lt;title&gt;Gender, parental education, and ability: their interacting roles in predicting GCSE success&lt;/title&gt;&lt;secondary-title&gt;Cambridge Journal of Education&lt;/secondary-title&gt;&lt;/titles&gt;&lt;periodical&gt;&lt;full-title&gt;Cambridge Journal of Education&lt;/full-title&gt;&lt;/periodical&gt;&lt;pages&gt;463-480&lt;/pages&gt;&lt;volume&gt;42&lt;/volume&gt;&lt;number&gt;4&lt;/number&gt;&lt;dates&gt;&lt;year&gt;2012&lt;/year&gt;&lt;/dates&gt;&lt;isbn&gt;0305-764X&lt;/isbn&gt;&lt;urls&gt;&lt;/urls&gt;&lt;/record&gt;&lt;/Cite&gt;&lt;/EndNote&gt;</w:instrText>
      </w:r>
      <w:r w:rsidR="00CB4237">
        <w:rPr>
          <w:lang w:val="en-GB"/>
        </w:rPr>
        <w:fldChar w:fldCharType="separate"/>
      </w:r>
      <w:r w:rsidR="00833DCA">
        <w:rPr>
          <w:noProof/>
          <w:lang w:val="en-GB"/>
        </w:rPr>
        <w:t>(Entwisle, Alexander, &amp; Olson, 2007; Glaesser &amp; Cooper, 2012)</w:t>
      </w:r>
      <w:r w:rsidR="00CB4237">
        <w:rPr>
          <w:lang w:val="en-GB"/>
        </w:rPr>
        <w:fldChar w:fldCharType="end"/>
      </w:r>
      <w:r w:rsidRPr="00955293">
        <w:rPr>
          <w:lang w:val="en-GB"/>
        </w:rPr>
        <w:t>.</w:t>
      </w:r>
      <w:r w:rsidR="00CB4237">
        <w:rPr>
          <w:lang w:val="en-GB"/>
        </w:rPr>
        <w:t xml:space="preserve"> </w:t>
      </w:r>
      <w:r w:rsidR="00CB4237">
        <w:rPr>
          <w:lang w:val="en-GB"/>
        </w:rPr>
        <w:fldChar w:fldCharType="begin"/>
      </w:r>
      <w:r w:rsidR="00CB4237">
        <w:rPr>
          <w:lang w:val="en-GB"/>
        </w:rPr>
        <w:instrText xml:space="preserve"> ADDIN EN.CITE &lt;EndNote&gt;&lt;Cite AuthorYear="1"&gt;&lt;Author&gt;Strand&lt;/Author&gt;&lt;Year&gt;2014&lt;/Year&gt;&lt;RecNum&gt;1564&lt;/RecNum&gt;&lt;DisplayText&gt;Strand (2014)&lt;/DisplayText&gt;&lt;record&gt;&lt;rec-number&gt;1564&lt;/rec-number&gt;&lt;foreign-keys&gt;&lt;key app="EN" db-id="wzre9as2u2ffe2e0tf2vtwr1wsd02s5x5zr0" timestamp="1506626528"&gt;1564&lt;/key&gt;&lt;/foreign-keys&gt;&lt;ref-type name="Journal Article"&gt;17&lt;/ref-type&gt;&lt;contributors&gt;&lt;authors&gt;&lt;author&gt;Strand, Steve&lt;/author&gt;&lt;/authors&gt;&lt;/contributors&gt;&lt;titles&gt;&lt;title&gt;Ethnicity, gender, social class and achievement gaps at age 16: Intersectionality and ‘Getting it’for the white working class&lt;/title&gt;&lt;secondary-title&gt;Research Papers in Education&lt;/secondary-title&gt;&lt;/titles&gt;&lt;periodical&gt;&lt;full-title&gt;Research Papers in Education&lt;/full-title&gt;&lt;/periodical&gt;&lt;pages&gt;131-171&lt;/pages&gt;&lt;volume&gt;29&lt;/volume&gt;&lt;number&gt;2&lt;/number&gt;&lt;dates&gt;&lt;year&gt;2014&lt;/year&gt;&lt;/dates&gt;&lt;isbn&gt;0267-1522&lt;/isbn&gt;&lt;urls&gt;&lt;/urls&gt;&lt;/record&gt;&lt;/Cite&gt;&lt;/EndNote&gt;</w:instrText>
      </w:r>
      <w:r w:rsidR="00CB4237">
        <w:rPr>
          <w:lang w:val="en-GB"/>
        </w:rPr>
        <w:fldChar w:fldCharType="separate"/>
      </w:r>
      <w:r w:rsidR="00CB4237">
        <w:rPr>
          <w:noProof/>
          <w:lang w:val="en-GB"/>
        </w:rPr>
        <w:t>Strand (2014)</w:t>
      </w:r>
      <w:r w:rsidR="00CB4237">
        <w:rPr>
          <w:lang w:val="en-GB"/>
        </w:rPr>
        <w:fldChar w:fldCharType="end"/>
      </w:r>
      <w:r w:rsidRPr="00955293">
        <w:rPr>
          <w:lang w:val="en-GB"/>
        </w:rPr>
        <w:t xml:space="preserve"> does not find any interactions between socioeconomic status and gender. </w:t>
      </w:r>
      <w:r w:rsidR="008E73FA">
        <w:rPr>
          <w:lang w:val="en-GB"/>
        </w:rPr>
        <w:fldChar w:fldCharType="begin"/>
      </w:r>
      <w:r w:rsidR="008E73FA">
        <w:rPr>
          <w:lang w:val="en-GB"/>
        </w:rPr>
        <w:instrText xml:space="preserve"> ADDIN EN.CITE &lt;EndNote&gt;&lt;Cite AuthorYear="1"&gt;&lt;Author&gt;Gottburgsen&lt;/Author&gt;&lt;Year&gt;2012&lt;/Year&gt;&lt;RecNum&gt;1563&lt;/RecNum&gt;&lt;DisplayText&gt;Gottburgsen and Gross (2012)&lt;/DisplayText&gt;&lt;record&gt;&lt;rec-number&gt;1563&lt;/rec-number&gt;&lt;foreign-keys&gt;&lt;key app="EN" db-id="wzre9as2u2ffe2e0tf2vtwr1wsd02s5x5zr0" timestamp="1506626289"&gt;1563&lt;/key&gt;&lt;/foreign-keys&gt;&lt;ref-type name="Book Section"&gt;5&lt;/ref-type&gt;&lt;contributors&gt;&lt;authors&gt;&lt;author&gt;Gottburgsen, Anja&lt;/author&gt;&lt;author&gt;Gross, Christiane&lt;/author&gt;&lt;/authors&gt;&lt;secondary-authors&gt;&lt;author&gt;Becker, Rolf&lt;/author&gt;&lt;author&gt;Solga, Heike&lt;/author&gt;&lt;/secondary-authors&gt;&lt;/contributors&gt;&lt;titles&gt;&lt;title&gt;Welchen Beitrag leistet „Intersektionalität“ zur Klärung von Kompetenzunterschieden bei Jugendlichen?&lt;/title&gt;&lt;secondary-title&gt;Soziologische Bildungsforschung&lt;/secondary-title&gt;&lt;tertiary-title&gt;Kölner Zeitschrift für Soziologie und Sozialpsychologie. Sonderheft&lt;/tertiary-title&gt;&lt;/titles&gt;&lt;pages&gt;503&lt;/pages&gt;&lt;number&gt;52&lt;/number&gt;&lt;keywords&gt;&lt;keyword&gt;Bildungsforschung&lt;/keyword&gt;&lt;keyword&gt;Pädagogische Soziologie&lt;/keyword&gt;&lt;keyword&gt;Aufsatzsammlung&lt;/keyword&gt;&lt;/keywords&gt;&lt;dates&gt;&lt;year&gt;2012&lt;/year&gt;&lt;/dates&gt;&lt;isbn&gt;9783658001193&amp;#xD;3658001194&lt;/isbn&gt;&lt;call-num&gt;A248 IFS_H.5 409&amp;#xD;B500 VRF_MN_1000_K77 1-52+2&amp;#xD;B500 VRF_MN_1000_K77 1-52&amp;#xD;A100 UBH Oek Zs 1201a : 52&amp;#xD;B500 VRF_MN_1000_K77 1-52+3&amp;#xD;B571 ZUW 105.00/ 182&amp;#xD;Basel UB Hauptbibliothek UBH Oek Zs 1201a : 52&amp;#xD;Basel Seminar für Soziologie IFS_H.5 409&amp;#xD;Bern UB vonRoll VRF_MN_1000_K77 1-52&amp;#xD;Bern UB vonRoll VRF_MN_1000_K77 1-52+2&amp;#xD;Bern UB vonRoll VRF_MN_1000_K77 1-52+3&amp;#xD;Bern UB Weiterbildung (ZUW) ZUW 105.00/ 182&lt;/call-num&gt;&lt;urls&gt;&lt;/urls&gt;&lt;/record&gt;&lt;/Cite&gt;&lt;/EndNote&gt;</w:instrText>
      </w:r>
      <w:r w:rsidR="008E73FA">
        <w:rPr>
          <w:lang w:val="en-GB"/>
        </w:rPr>
        <w:fldChar w:fldCharType="separate"/>
      </w:r>
      <w:r w:rsidR="008E73FA">
        <w:rPr>
          <w:noProof/>
          <w:lang w:val="en-GB"/>
        </w:rPr>
        <w:t>Gottburgsen and Gross (2012)</w:t>
      </w:r>
      <w:r w:rsidR="008E73FA">
        <w:rPr>
          <w:lang w:val="en-GB"/>
        </w:rPr>
        <w:fldChar w:fldCharType="end"/>
      </w:r>
      <w:r w:rsidR="008E73FA">
        <w:rPr>
          <w:lang w:val="en-GB"/>
        </w:rPr>
        <w:t xml:space="preserve"> </w:t>
      </w:r>
      <w:r w:rsidRPr="00955293">
        <w:rPr>
          <w:lang w:val="en-GB"/>
        </w:rPr>
        <w:t xml:space="preserve">additionally find heterogeneous effects, depending on whether reading or mathematics skills are concerned </w:t>
      </w:r>
      <w:r w:rsidR="00DC0363">
        <w:rPr>
          <w:lang w:val="en-GB"/>
        </w:rPr>
        <w:fldChar w:fldCharType="begin"/>
      </w:r>
      <w:r w:rsidR="00833DCA">
        <w:rPr>
          <w:lang w:val="en-GB"/>
        </w:rPr>
        <w:instrText xml:space="preserve"> ADDIN EN.CITE &lt;EndNote&gt;&lt;Cite&gt;&lt;Author&gt;Becker&lt;/Author&gt;&lt;Year&gt;2011&lt;/Year&gt;&lt;RecNum&gt;1106&lt;/RecNum&gt;&lt;Prefix&gt;see also &lt;/Prefix&gt;&lt;DisplayText&gt;(see also Becker &amp;amp;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833DCA">
        <w:rPr>
          <w:noProof/>
          <w:lang w:val="en-GB"/>
        </w:rPr>
        <w:t>(see also Becker &amp; Müller, 2011)</w:t>
      </w:r>
      <w:r w:rsidR="00DC0363">
        <w:rPr>
          <w:lang w:val="en-GB"/>
        </w:rPr>
        <w:fldChar w:fldCharType="end"/>
      </w:r>
      <w:r w:rsidRPr="00955293">
        <w:rPr>
          <w:lang w:val="en-GB"/>
        </w:rPr>
        <w:t xml:space="preserve">. Intersectional approaches assessing secondary effects are less common.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Luijkx, Müller, and Pollak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Luijkx, Müller, and Pollak (2009)</w:t>
      </w:r>
      <w:r w:rsidR="00DC0363">
        <w:rPr>
          <w:lang w:val="en-GB"/>
        </w:rPr>
        <w:fldChar w:fldCharType="end"/>
      </w:r>
      <w:r w:rsidRPr="00955293">
        <w:rPr>
          <w:lang w:val="en-GB"/>
        </w:rPr>
        <w:t>, as well as</w:t>
      </w:r>
      <w:r w:rsidR="00DC0363">
        <w:rPr>
          <w:lang w:val="en-GB"/>
        </w:rPr>
        <w:t xml:space="preserv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00DC0363">
        <w:rPr>
          <w:lang w:val="en-GB"/>
        </w:rPr>
        <w:t xml:space="preserve"> </w:t>
      </w:r>
      <w:r w:rsidRPr="00955293">
        <w:rPr>
          <w:lang w:val="en-GB"/>
        </w:rPr>
        <w:t xml:space="preserve">find that gender differences in class inequalities have changed over time, according to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et al. (2009)</w:t>
      </w:r>
      <w:r w:rsidR="00DC0363">
        <w:rPr>
          <w:lang w:val="en-GB"/>
        </w:rPr>
        <w:fldChar w:fldCharType="end"/>
      </w:r>
      <w:r w:rsidRPr="00955293">
        <w:rPr>
          <w:lang w:val="en-GB"/>
        </w:rPr>
        <w:t xml:space="preserve"> they have remained rather stable.</w:t>
      </w:r>
    </w:p>
    <w:p w14:paraId="6C2EC922" w14:textId="05633AE0" w:rsidR="004E1399" w:rsidRPr="00955293" w:rsidRDefault="004E1399" w:rsidP="006A5BD7">
      <w:pPr>
        <w:spacing w:after="240" w:line="240" w:lineRule="auto"/>
        <w:jc w:val="both"/>
        <w:rPr>
          <w:lang w:val="en-GB"/>
        </w:rPr>
      </w:pPr>
      <w:r w:rsidRPr="00955293">
        <w:rPr>
          <w:lang w:val="en-GB"/>
        </w:rPr>
        <w:t xml:space="preserve">Primary and secondary effects of social origin do not only influence the level of education one attains, but there is also a horizontal dimension to it. In other words, within a certain level of education, students from </w:t>
      </w:r>
      <w:r w:rsidRPr="00955293">
        <w:rPr>
          <w:lang w:val="en-GB"/>
        </w:rPr>
        <w:lastRenderedPageBreak/>
        <w:t>different class backgrounds do not necessarily study the same subjects</w:t>
      </w:r>
      <w:r w:rsidR="003E04F9">
        <w:rPr>
          <w:lang w:val="en-GB"/>
        </w:rPr>
        <w:t xml:space="preserve"> </w:t>
      </w:r>
      <w:r w:rsidR="003E04F9">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 </w:instrText>
      </w:r>
      <w:r w:rsidR="00833DCA">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EN.CITE.DATA </w:instrText>
      </w:r>
      <w:r w:rsidR="00833DCA">
        <w:rPr>
          <w:lang w:val="en-GB"/>
        </w:rPr>
      </w:r>
      <w:r w:rsidR="00833DCA">
        <w:rPr>
          <w:lang w:val="en-GB"/>
        </w:rPr>
        <w:fldChar w:fldCharType="end"/>
      </w:r>
      <w:r w:rsidR="003E04F9">
        <w:rPr>
          <w:lang w:val="en-GB"/>
        </w:rPr>
      </w:r>
      <w:r w:rsidR="003E04F9">
        <w:rPr>
          <w:lang w:val="en-GB"/>
        </w:rPr>
        <w:fldChar w:fldCharType="separate"/>
      </w:r>
      <w:r w:rsidR="00833DCA">
        <w:rPr>
          <w:noProof/>
          <w:lang w:val="en-GB"/>
        </w:rPr>
        <w:t>(Becker, Haunberger, &amp; Schubert, 2010; Reimer &amp; Pollak, 2005; van de Werfhorst, 2002)</w:t>
      </w:r>
      <w:r w:rsidR="003E04F9">
        <w:rPr>
          <w:lang w:val="en-GB"/>
        </w:rPr>
        <w:fldChar w:fldCharType="end"/>
      </w:r>
      <w:r w:rsidRPr="00955293">
        <w:rPr>
          <w:lang w:val="en-GB"/>
        </w:rPr>
        <w:t>. Such horizontal differences are relevant because they may translate to vertical stratification as fields of study differ in terms of subsequent labour market opportunities</w:t>
      </w:r>
      <w:r w:rsidR="00E02755">
        <w:rPr>
          <w:lang w:val="en-GB"/>
        </w:rPr>
        <w:t xml:space="preserve"> </w:t>
      </w:r>
      <w:r w:rsidR="00E02755">
        <w:rPr>
          <w:lang w:val="en-GB"/>
        </w:rPr>
        <w:fldChar w:fldCharType="begin"/>
      </w:r>
      <w:r w:rsidR="00833DCA">
        <w:rPr>
          <w:lang w:val="en-GB"/>
        </w:rPr>
        <w:instrText xml:space="preserve"> ADDIN EN.CITE &lt;EndNote&gt;&lt;Cite&gt;&lt;Author&gt;Reimer&lt;/Author&gt;&lt;Year&gt;2005&lt;/Year&gt;&lt;RecNum&gt;1666&lt;/RecNum&gt;&lt;DisplayText&gt;(Reimer &amp;amp;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E02755">
        <w:rPr>
          <w:lang w:val="en-GB"/>
        </w:rPr>
        <w:fldChar w:fldCharType="separate"/>
      </w:r>
      <w:r w:rsidR="00833DCA">
        <w:rPr>
          <w:noProof/>
          <w:lang w:val="en-GB"/>
        </w:rPr>
        <w:t>(Reimer &amp; Pollak, 2005)</w:t>
      </w:r>
      <w:r w:rsidR="00E02755">
        <w:rPr>
          <w:lang w:val="en-GB"/>
        </w:rPr>
        <w:fldChar w:fldCharType="end"/>
      </w:r>
      <w:r w:rsidRPr="00955293">
        <w:rPr>
          <w:lang w:val="en-GB"/>
        </w:rPr>
        <w:t xml:space="preserve">. Theoretically, several mechanisms can lead to these differences. According to </w:t>
      </w:r>
      <w:r w:rsidR="00E02755">
        <w:rPr>
          <w:lang w:val="en-GB"/>
        </w:rPr>
        <w:fldChar w:fldCharType="begin"/>
      </w:r>
      <w:r w:rsidR="00E02755">
        <w:rPr>
          <w:lang w:val="en-GB"/>
        </w:rPr>
        <w:instrText xml:space="preserve"> ADDIN EN.CITE &lt;EndNote&gt;&lt;Cite AuthorYear="1"&gt;&lt;Author&gt;van de Werfhorst&lt;/Author&gt;&lt;Year&gt;2002&lt;/Year&gt;&lt;RecNum&gt;1667&lt;/RecNum&gt;&lt;DisplayText&gt;van de Werfhorst (2002)&lt;/DisplayText&gt;&lt;record&gt;&lt;rec-number&gt;1667&lt;/rec-number&gt;&lt;foreign-keys&gt;&lt;key app="EN" db-id="wzre9as2u2ffe2e0tf2vtwr1wsd02s5x5zr0" timestamp="1545219606"&gt;1667&lt;/key&gt;&lt;/foreign-keys&gt;&lt;ref-type name="Journal Article"&gt;17&lt;/ref-type&gt;&lt;contributors&gt;&lt;authors&gt;&lt;author&gt;van de Werfhorst, Herman G.&lt;/author&gt;&lt;/authors&gt;&lt;/contributors&gt;&lt;titles&gt;&lt;title&gt;A detailed examination of the role of education in intergenerational social-class mobility&lt;/title&gt;&lt;secondary-title&gt;Social Science Information&lt;/secondary-title&gt;&lt;/titles&gt;&lt;periodical&gt;&lt;full-title&gt;Social Science Information&lt;/full-title&gt;&lt;/periodical&gt;&lt;pages&gt;407-438&lt;/pages&gt;&lt;volume&gt;41&lt;/volume&gt;&lt;number&gt;3&lt;/number&gt;&lt;dates&gt;&lt;year&gt;2002&lt;/year&gt;&lt;/dates&gt;&lt;isbn&gt;0539-0184&lt;/isbn&gt;&lt;urls&gt;&lt;/urls&gt;&lt;/record&gt;&lt;/Cite&gt;&lt;/EndNote&gt;</w:instrText>
      </w:r>
      <w:r w:rsidR="00E02755">
        <w:rPr>
          <w:lang w:val="en-GB"/>
        </w:rPr>
        <w:fldChar w:fldCharType="separate"/>
      </w:r>
      <w:r w:rsidR="00E02755">
        <w:rPr>
          <w:noProof/>
          <w:lang w:val="en-GB"/>
        </w:rPr>
        <w:t>van de Werfhorst (2002)</w:t>
      </w:r>
      <w:r w:rsidR="00E02755">
        <w:rPr>
          <w:lang w:val="en-GB"/>
        </w:rPr>
        <w:fldChar w:fldCharType="end"/>
      </w:r>
      <w:r w:rsidR="00E02755">
        <w:rPr>
          <w:lang w:val="en-GB"/>
        </w:rPr>
        <w:t xml:space="preserve"> </w:t>
      </w:r>
      <w:r w:rsidRPr="00955293">
        <w:rPr>
          <w:lang w:val="en-GB"/>
        </w:rPr>
        <w:t xml:space="preserve">there is a cultural aspect of intergenerational transmission. Children get more information on the fields of study of their parents and are therefore more likely to choose a similar subject. </w:t>
      </w:r>
      <w:r w:rsidR="00894AE6">
        <w:rPr>
          <w:lang w:val="en-GB"/>
        </w:rPr>
        <w:fldChar w:fldCharType="begin"/>
      </w:r>
      <w:r w:rsidR="00894AE6">
        <w:rPr>
          <w:lang w:val="en-GB"/>
        </w:rPr>
        <w:instrText xml:space="preserve"> ADDIN EN.CITE &lt;EndNote&gt;&lt;Cite AuthorYear="1"&gt;&lt;Author&gt;Reimer&lt;/Author&gt;&lt;Year&gt;2005&lt;/Year&gt;&lt;RecNum&gt;1666&lt;/RecNum&gt;&lt;DisplayText&gt;Reimer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Reimer and Pollak (2005)</w:t>
      </w:r>
      <w:r w:rsidR="00894AE6">
        <w:rPr>
          <w:lang w:val="en-GB"/>
        </w:rPr>
        <w:fldChar w:fldCharType="end"/>
      </w:r>
      <w:r w:rsidR="00894AE6">
        <w:rPr>
          <w:lang w:val="en-GB"/>
        </w:rPr>
        <w:t xml:space="preserve"> </w:t>
      </w:r>
      <w:r w:rsidRPr="00955293">
        <w:rPr>
          <w:lang w:val="en-GB"/>
        </w:rPr>
        <w:t>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high incomes</w:t>
      </w:r>
      <w:r w:rsidR="00894AE6">
        <w:rPr>
          <w:lang w:val="en-GB"/>
        </w:rPr>
        <w:t xml:space="preserve"> </w:t>
      </w:r>
      <w:r w:rsidR="00894AE6">
        <w:rPr>
          <w:lang w:val="en-GB"/>
        </w:rPr>
        <w:fldChar w:fldCharType="begin"/>
      </w:r>
      <w:r w:rsidR="00833DCA">
        <w:rPr>
          <w:lang w:val="en-GB"/>
        </w:rPr>
        <w:instrText xml:space="preserve"> ADDIN EN.CITE &lt;EndNote&gt;&lt;Cite&gt;&lt;Author&gt;Reimer&lt;/Author&gt;&lt;Year&gt;2005&lt;/Year&gt;&lt;RecNum&gt;1666&lt;/RecNum&gt;&lt;Pages&gt;7&lt;/Pages&gt;&lt;DisplayText&gt;(Reimer &amp;amp; Pollak, 2005, p. 7)&lt;/DisplayText&gt;&lt;record&gt;&lt;rec-number&gt;1666&lt;/rec-number&gt;&lt;foreign-keys&gt;&lt;key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33DCA">
        <w:rPr>
          <w:noProof/>
          <w:lang w:val="en-GB"/>
        </w:rPr>
        <w:t>(Reimer &amp; Pollak, 2005, p. 7)</w:t>
      </w:r>
      <w:r w:rsidR="00894AE6">
        <w:rPr>
          <w:lang w:val="en-GB"/>
        </w:rPr>
        <w:fldChar w:fldCharType="end"/>
      </w:r>
      <w:r w:rsidR="00894AE6">
        <w:rPr>
          <w:lang w:val="en-GB"/>
        </w:rPr>
        <w:t>.</w:t>
      </w:r>
      <w:r w:rsidRPr="00955293">
        <w:rPr>
          <w:lang w:val="en-GB"/>
        </w:rPr>
        <w:t xml:space="preserve"> For a more detailed discussion of primary and secondary effect on the choice of subject of study, see also</w:t>
      </w:r>
      <w:r w:rsidR="00BB3277">
        <w:rPr>
          <w:lang w:val="en-GB"/>
        </w:rPr>
        <w:t xml:space="preserve"> </w:t>
      </w:r>
      <w:r w:rsidR="00BB3277">
        <w:rPr>
          <w:lang w:val="en-GB"/>
        </w:rPr>
        <w:fldChar w:fldCharType="begin"/>
      </w:r>
      <w:r w:rsidR="00833DCA">
        <w:rPr>
          <w:lang w:val="en-GB"/>
        </w:rPr>
        <w:instrText xml:space="preserve"> ADDIN EN.CITE &lt;EndNote&gt;&lt;Cite AuthorYear="1"&gt;&lt;Author&gt;Becker&lt;/Author&gt;&lt;Year&gt;2010&lt;/Year&gt;&lt;RecNum&gt;1668&lt;/RecNum&gt;&lt;DisplayText&gt;Becker et al. (2010)&lt;/DisplayText&gt;&lt;record&gt;&lt;rec-number&gt;1668&lt;/rec-number&gt;&lt;foreign-keys&gt;&lt;key app="EN" db-id="wzre9as2u2ffe2e0tf2vtwr1wsd02s5x5zr0" timestamp="1545220743"&gt;1668&lt;/key&gt;&lt;/foreign-keys&gt;&lt;ref-type name="Journal Article"&gt;17&lt;/ref-type&gt;&lt;contributors&gt;&lt;authors&gt;&lt;author&gt;Becker, Rolf&lt;/author&gt;&lt;author&gt;Haunberger, Sigrid&lt;/author&gt;&lt;author&gt;Schubert, Frank&lt;/author&gt;&lt;/authors&gt;&lt;/contributors&gt;&lt;titles&gt;&lt;title&gt;Studienfachwahl als Spezialfall der Ausbildungsentscheidung und Berufswahl&lt;/title&gt;&lt;secondary-title&gt;Zeitschrift für ArbeitsmarktForschung&lt;/secondary-title&gt;&lt;/titles&gt;&lt;periodical&gt;&lt;full-title&gt;Zeitschrift für Arbeitsmarktforschung&lt;/full-title&gt;&lt;/periodical&gt;&lt;pages&gt;292-310&lt;/pages&gt;&lt;volume&gt;42&lt;/volume&gt;&lt;number&gt;4&lt;/number&gt;&lt;dates&gt;&lt;year&gt;2010&lt;/year&gt;&lt;pub-dates&gt;&lt;date&gt;February 01&lt;/date&gt;&lt;/pub-dates&gt;&lt;/dates&gt;&lt;isbn&gt;1867-8343&lt;/isbn&gt;&lt;label&gt;Becker2010&lt;/label&gt;&lt;work-type&gt;journal article&lt;/work-type&gt;&lt;urls&gt;&lt;/urls&gt;&lt;/record&gt;&lt;/Cite&gt;&lt;/EndNote&gt;</w:instrText>
      </w:r>
      <w:r w:rsidR="00BB3277">
        <w:rPr>
          <w:lang w:val="en-GB"/>
        </w:rPr>
        <w:fldChar w:fldCharType="separate"/>
      </w:r>
      <w:r w:rsidR="00833DCA">
        <w:rPr>
          <w:noProof/>
          <w:lang w:val="en-GB"/>
        </w:rPr>
        <w:t>Becker et al. (2010)</w:t>
      </w:r>
      <w:r w:rsidR="00BB3277">
        <w:rPr>
          <w:lang w:val="en-GB"/>
        </w:rPr>
        <w:fldChar w:fldCharType="end"/>
      </w:r>
      <w:r w:rsidRPr="00955293">
        <w:rPr>
          <w:lang w:val="en-GB"/>
        </w:rPr>
        <w:t>.</w:t>
      </w:r>
    </w:p>
    <w:p w14:paraId="59E71636" w14:textId="4C4E179E" w:rsidR="004E1399" w:rsidRPr="00955293" w:rsidRDefault="00004FCF" w:rsidP="006A5BD7">
      <w:pPr>
        <w:spacing w:after="240" w:line="240" w:lineRule="auto"/>
        <w:jc w:val="both"/>
        <w:rPr>
          <w:lang w:val="en-GB"/>
        </w:rPr>
      </w:pPr>
      <w:r>
        <w:rPr>
          <w:noProof/>
          <w:lang w:val="en-GB"/>
        </w:rPr>
        <w:fldChar w:fldCharType="begin"/>
      </w:r>
      <w:r>
        <w:rPr>
          <w:noProof/>
          <w:lang w:val="en-GB"/>
        </w:rPr>
        <w:instrText xml:space="preserve"> ADDIN EN.CITE &lt;EndNote&gt;&lt;Cite AuthorYear="1"&gt;&lt;Author&gt;Glauser&lt;/Author&gt;&lt;Year&gt;2015&lt;/Year&gt;&lt;RecNum&gt;1648&lt;/RecNum&gt;&lt;DisplayText&gt;Glauser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Pr>
          <w:noProof/>
          <w:lang w:val="en-GB"/>
        </w:rPr>
        <w:fldChar w:fldCharType="separate"/>
      </w:r>
      <w:r>
        <w:rPr>
          <w:noProof/>
          <w:lang w:val="en-GB"/>
        </w:rPr>
        <w:t>Glauser (2015)</w:t>
      </w:r>
      <w:r>
        <w:rPr>
          <w:noProof/>
          <w:lang w:val="en-GB"/>
        </w:rPr>
        <w:fldChar w:fldCharType="end"/>
      </w:r>
      <w:r w:rsidR="004E1399"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w:t>
      </w:r>
      <w:r w:rsidR="00A20A0F">
        <w:rPr>
          <w:lang w:val="en-GB"/>
        </w:rPr>
        <w:t xml:space="preserve"> </w:t>
      </w:r>
      <w:r w:rsidR="00A20A0F">
        <w:rPr>
          <w:lang w:val="en-GB"/>
        </w:rPr>
        <w:fldChar w:fldCharType="begin"/>
      </w:r>
      <w:r w:rsidR="00833DCA">
        <w:rPr>
          <w:lang w:val="en-GB"/>
        </w:rPr>
        <w:instrText xml:space="preserve"> ADDIN EN.CITE &lt;EndNote&gt;&lt;Cite&gt;&lt;Author&gt;Glauser&lt;/Author&gt;&lt;Year&gt;2015&lt;/Year&gt;&lt;RecNum&gt;1648&lt;/RecNum&gt;&lt;Suffix&gt;`, chapter 4.3.2&lt;/Suffix&gt;&lt;DisplayText&gt;(Glauser, 2015, chapter 4.3.2)&lt;/DisplayText&gt;&lt;record&gt;&lt;rec-number&gt;1648&lt;/rec-number&gt;&lt;foreign-keys&gt;&lt;key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A20A0F">
        <w:rPr>
          <w:lang w:val="en-GB"/>
        </w:rPr>
        <w:fldChar w:fldCharType="separate"/>
      </w:r>
      <w:r w:rsidR="00833DCA">
        <w:rPr>
          <w:noProof/>
          <w:lang w:val="en-GB"/>
        </w:rPr>
        <w:t>(Glauser, 2015, chapter 4.3.2)</w:t>
      </w:r>
      <w:r w:rsidR="00A20A0F">
        <w:rPr>
          <w:lang w:val="en-GB"/>
        </w:rPr>
        <w:fldChar w:fldCharType="end"/>
      </w:r>
      <w:r w:rsidR="004E1399" w:rsidRPr="00955293">
        <w:rPr>
          <w:lang w:val="en-GB"/>
        </w:rPr>
        <w:t xml:space="preserve">. Secondary effects can be identified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00BC0B42">
        <w:rPr>
          <w:lang w:val="en-GB"/>
        </w:rPr>
        <w:fldChar w:fldCharType="begin"/>
      </w:r>
      <w:r w:rsidR="00833DCA">
        <w:rPr>
          <w:lang w:val="en-GB"/>
        </w:rPr>
        <w:instrText xml:space="preserve"> ADDIN EN.CITE &lt;EndNote&gt;&lt;Cite&gt;&lt;Author&gt;Imdorf&lt;/Author&gt;&lt;Year&gt;2015&lt;/Year&gt;&lt;RecNum&gt;532&lt;/RecNum&gt;&lt;DisplayText&gt;(Imdorf &amp;amp; Hupka-Brunner, 2015; Imdorf, Sacchi, Wohlgemuth, Cortesi, &amp;amp; Schoch, 2014)&lt;/DisplayText&gt;&lt;record&gt;&lt;rec-number&gt;532&lt;/rec-number&gt;&lt;foreign-keys&gt;&lt;key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Cite&gt;&lt;Author&gt;Imdorf&lt;/Author&gt;&lt;Year&gt;2014&lt;/Year&gt;&lt;RecNum&gt;1664&lt;/RecNum&gt;&lt;record&gt;&lt;rec-number&gt;1664&lt;/rec-number&gt;&lt;foreign-keys&gt;&lt;key app="EN" db-id="wzre9as2u2ffe2e0tf2vtwr1wsd02s5x5zr0" timestamp="1544802176"&gt;1664&lt;/key&gt;&lt;/foreign-keys&gt;&lt;ref-type name="Journal Article"&gt;17&lt;/ref-type&gt;&lt;contributors&gt;&lt;authors&gt;&lt;author&gt;Imdorf, Christian&lt;/author&gt;&lt;author&gt;Sacchi, Stefan&lt;/author&gt;&lt;author&gt;Wohlgemuth, Karin&lt;/author&gt;&lt;author&gt;Cortesi, Sasha&lt;/author&gt;&lt;author&gt;Schoch, Aline&lt;/author&gt;&lt;/authors&gt;&lt;/contributors&gt;&lt;titles&gt;&lt;title&gt;How cantonal education systems in Switzerland promote gender-typical school-to-work transitions&lt;/title&gt;&lt;secondary-title&gt;Swiss journal of sociology&lt;/secondary-title&gt;&lt;/titles&gt;&lt;periodical&gt;&lt;full-title&gt;Swiss Journal of Sociology&lt;/full-title&gt;&lt;/periodical&gt;&lt;pages&gt;175-196&lt;/pages&gt;&lt;volume&gt;40&lt;/volume&gt;&lt;number&gt;2&lt;/number&gt;&lt;dates&gt;&lt;year&gt;2014&lt;/year&gt;&lt;/dates&gt;&lt;isbn&gt;0379-3664&lt;/isbn&gt;&lt;urls&gt;&lt;/urls&gt;&lt;/record&gt;&lt;/Cite&gt;&lt;/EndNote&gt;</w:instrText>
      </w:r>
      <w:r w:rsidR="00BC0B42">
        <w:rPr>
          <w:lang w:val="en-GB"/>
        </w:rPr>
        <w:fldChar w:fldCharType="separate"/>
      </w:r>
      <w:r w:rsidR="00833DCA">
        <w:rPr>
          <w:noProof/>
          <w:lang w:val="en-GB"/>
        </w:rPr>
        <w:t>(Imdorf &amp; Hupka-Brunner, 2015; Imdorf, Sacchi, Wohlgemuth, Cortesi, &amp; Schoch, 2014)</w:t>
      </w:r>
      <w:r w:rsidR="00BC0B42">
        <w:rPr>
          <w:lang w:val="en-GB"/>
        </w:rPr>
        <w:fldChar w:fldCharType="end"/>
      </w:r>
      <w:r w:rsidR="004E1399" w:rsidRPr="00955293">
        <w:rPr>
          <w:lang w:val="en-GB"/>
        </w:rPr>
        <w:t>. Hence, for boys, the vocational education is more attractive because they find a wide range of male typical occupations that offer good career prospects, including, for example, opportunities of further education</w:t>
      </w:r>
      <w:r w:rsidR="008954BA">
        <w:rPr>
          <w:lang w:val="en-GB"/>
        </w:rPr>
        <w:t xml:space="preserve"> </w:t>
      </w:r>
      <w:r w:rsidR="008954BA">
        <w:rPr>
          <w:lang w:val="en-GB"/>
        </w:rPr>
        <w:fldChar w:fldCharType="begin"/>
      </w:r>
      <w:r w:rsidR="00833DCA">
        <w:rPr>
          <w:lang w:val="en-GB"/>
        </w:rPr>
        <w:instrText xml:space="preserve"> ADDIN EN.CITE &lt;EndNote&gt;&lt;Cite&gt;&lt;Author&gt;Glauser&lt;/Author&gt;&lt;Year&gt;2015&lt;/Year&gt;&lt;RecNum&gt;1648&lt;/RecNum&gt;&lt;DisplayText&gt;(Glauser,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8954BA">
        <w:rPr>
          <w:lang w:val="en-GB"/>
        </w:rPr>
        <w:fldChar w:fldCharType="separate"/>
      </w:r>
      <w:r w:rsidR="00833DCA">
        <w:rPr>
          <w:noProof/>
          <w:lang w:val="en-GB"/>
        </w:rPr>
        <w:t>(Glauser, 2015)</w:t>
      </w:r>
      <w:r w:rsidR="008954BA">
        <w:rPr>
          <w:lang w:val="en-GB"/>
        </w:rPr>
        <w:fldChar w:fldCharType="end"/>
      </w:r>
      <w:r w:rsidR="004E1399" w:rsidRPr="00955293">
        <w:rPr>
          <w:lang w:val="en-GB"/>
        </w:rPr>
        <w:t>.</w:t>
      </w:r>
    </w:p>
    <w:p w14:paraId="114BEF03" w14:textId="14093970" w:rsidR="004E1399" w:rsidRPr="00955293" w:rsidRDefault="004E1399" w:rsidP="006A5BD7">
      <w:pPr>
        <w:spacing w:after="240" w:line="240" w:lineRule="auto"/>
        <w:jc w:val="both"/>
        <w:rPr>
          <w:lang w:val="en-GB"/>
        </w:rPr>
      </w:pPr>
      <w:r w:rsidRPr="00955293">
        <w:rPr>
          <w:lang w:val="en-GB"/>
        </w:rPr>
        <w:t>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w:t>
      </w:r>
      <w:r w:rsidR="00334A8E">
        <w:rPr>
          <w:lang w:val="en-GB"/>
        </w:rPr>
        <w:t xml:space="preserve"> </w:t>
      </w:r>
      <w:r w:rsidR="00334A8E">
        <w:rPr>
          <w:lang w:val="en-GB"/>
        </w:rPr>
        <w:fldChar w:fldCharType="begin"/>
      </w:r>
      <w:r w:rsidR="00833DCA">
        <w:rPr>
          <w:lang w:val="en-GB"/>
        </w:rPr>
        <w:instrText xml:space="preserve"> ADDIN EN.CITE &lt;EndNote&gt;&lt;Cite&gt;&lt;Author&gt;Charles&lt;/Author&gt;&lt;Year&gt;2009&lt;/Year&gt;&lt;RecNum&gt;1156&lt;/RecNum&gt;&lt;DisplayText&gt;(Charles &amp;amp; Bradley, 2009)&lt;/DisplayText&gt;&lt;record&gt;&lt;rec-number&gt;1156&lt;/rec-number&gt;&lt;foreign-keys&gt;&lt;key app="EN" db-id="wzre9as2u2ffe2e0tf2vtwr1wsd02s5x5zr0" timestamp="1504002020"&gt;1156&lt;/key&gt;&lt;/foreign-keys&gt;&lt;ref-type name="Journal Article"&gt;17&lt;/ref-type&gt;&lt;contributors&gt;&lt;authors&gt;&lt;author&gt;Charles, Maria&lt;/author&gt;&lt;author&gt;Bradley, Karen&lt;/author&gt;&lt;/authors&gt;&lt;/contributors&gt;&lt;titles&gt;&lt;title&gt;Indulging our gendered selves? Sex segregation by field of study in 44 countries&lt;/title&gt;&lt;secondary-title&gt;American Journal of Sociology&lt;/secondary-title&gt;&lt;/titles&gt;&lt;periodical&gt;&lt;full-title&gt;American Journal of Sociology&lt;/full-title&gt;&lt;/periodical&gt;&lt;pages&gt;924-976&lt;/pages&gt;&lt;volume&gt;114&lt;/volume&gt;&lt;number&gt;4&lt;/number&gt;&lt;dates&gt;&lt;year&gt;2009&lt;/year&gt;&lt;/dates&gt;&lt;isbn&gt;0002-9602&lt;/isbn&gt;&lt;urls&gt;&lt;/urls&gt;&lt;/record&gt;&lt;/Cite&gt;&lt;/EndNote&gt;</w:instrText>
      </w:r>
      <w:r w:rsidR="00334A8E">
        <w:rPr>
          <w:lang w:val="en-GB"/>
        </w:rPr>
        <w:fldChar w:fldCharType="separate"/>
      </w:r>
      <w:r w:rsidR="00833DCA">
        <w:rPr>
          <w:noProof/>
          <w:lang w:val="en-GB"/>
        </w:rPr>
        <w:t>(Charles &amp; Bradley, 2009)</w:t>
      </w:r>
      <w:r w:rsidR="00334A8E">
        <w:rPr>
          <w:lang w:val="en-GB"/>
        </w:rPr>
        <w:fldChar w:fldCharType="end"/>
      </w:r>
      <w:r w:rsidRPr="00955293">
        <w:rPr>
          <w:lang w:val="en-GB"/>
        </w:rPr>
        <w:t>. This gender ideology adheres to beliefs in differences between men and women, in how they are and how they ought to be</w:t>
      </w:r>
      <w:r w:rsidR="00334A8E">
        <w:rPr>
          <w:lang w:val="en-GB"/>
        </w:rPr>
        <w:t xml:space="preserve"> </w:t>
      </w:r>
      <w:r w:rsidR="00334A8E">
        <w:rPr>
          <w:lang w:val="en-GB"/>
        </w:rPr>
        <w:fldChar w:fldCharType="begin"/>
      </w:r>
      <w:r w:rsidR="00833DCA">
        <w:rPr>
          <w:lang w:val="en-GB"/>
        </w:rPr>
        <w:instrText xml:space="preserve"> ADDIN EN.CITE &lt;EndNote&gt;&lt;Cite&gt;&lt;Author&gt;Eagly&lt;/Author&gt;&lt;Year&gt;2008&lt;/Year&gt;&lt;RecNum&gt;740&lt;/RecNum&gt;&lt;DisplayText&gt;(Eagly &amp;amp; Sczesny, 2008)&lt;/DisplayText&gt;&lt;record&gt;&lt;rec-number&gt;740&lt;/rec-number&gt;&lt;foreign-keys&gt;&lt;key app="EN" db-id="wzre9as2u2ffe2e0tf2vtwr1wsd02s5x5zr0" timestamp="1489771843"&gt;740&lt;/key&gt;&lt;/foreign-keys&gt;&lt;ref-type name="Book Section"&gt;5&lt;/ref-type&gt;&lt;contributors&gt;&lt;authors&gt;&lt;author&gt;Eagly, Alice H.&lt;/author&gt;&lt;author&gt;Sczesny, Sabine&lt;/author&gt;&lt;/authors&gt;&lt;secondary-authors&gt;&lt;author&gt;Barreto, Manuela K.&lt;/author&gt;&lt;author&gt;Michelle K. Ryan&lt;/author&gt;&lt;author&gt;Michael T. Schmitt&lt;/author&gt;&lt;/secondary-authors&gt;&lt;/contributors&gt;&lt;titles&gt;&lt;title&gt;Stereotypes about women, men and leaders: Have time changed?&lt;/title&gt;&lt;secondary-title&gt;The glass ceiling in the 21st century: Understanding barriers to gender equality&lt;/secondary-title&gt;&lt;/titles&gt;&lt;pages&gt;21‐47&lt;/pages&gt;&lt;dates&gt;&lt;year&gt;2008&lt;/year&gt;&lt;/dates&gt;&lt;pub-location&gt;Washington&lt;/pub-location&gt;&lt;publisher&gt;American Psychological Association&lt;/publisher&gt;&lt;urls&gt;&lt;/urls&gt;&lt;/record&gt;&lt;/Cite&gt;&lt;/EndNote&gt;</w:instrText>
      </w:r>
      <w:r w:rsidR="00334A8E">
        <w:rPr>
          <w:lang w:val="en-GB"/>
        </w:rPr>
        <w:fldChar w:fldCharType="separate"/>
      </w:r>
      <w:r w:rsidR="00833DCA">
        <w:rPr>
          <w:noProof/>
          <w:lang w:val="en-GB"/>
        </w:rPr>
        <w:t>(Eagly &amp; Sczesny, 2008)</w:t>
      </w:r>
      <w:r w:rsidR="00334A8E">
        <w:rPr>
          <w:lang w:val="en-GB"/>
        </w:rPr>
        <w:fldChar w:fldCharType="end"/>
      </w:r>
      <w:r w:rsidRPr="00955293">
        <w:rPr>
          <w:lang w:val="en-GB"/>
        </w:rPr>
        <w:t>. Accordingly, social roles, such as, for example occupations, are gendered, too. That is, technical or manual occupations, as well as leadership positions are being considered as more typically masculine, whereas caring or teaching domains are seen as intrinsically feminine. According to the role congruity theory</w:t>
      </w:r>
      <w:r w:rsidR="007D609D">
        <w:rPr>
          <w:lang w:val="en-GB"/>
        </w:rPr>
        <w:t xml:space="preserve"> </w:t>
      </w:r>
      <w:r w:rsidR="007D609D">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 </w:instrText>
      </w:r>
      <w:r w:rsidR="00833DCA">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EN.CITE.DATA </w:instrText>
      </w:r>
      <w:r w:rsidR="00833DCA">
        <w:rPr>
          <w:lang w:val="en-GB"/>
        </w:rPr>
      </w:r>
      <w:r w:rsidR="00833DCA">
        <w:rPr>
          <w:lang w:val="en-GB"/>
        </w:rPr>
        <w:fldChar w:fldCharType="end"/>
      </w:r>
      <w:r w:rsidR="007D609D">
        <w:rPr>
          <w:lang w:val="en-GB"/>
        </w:rPr>
      </w:r>
      <w:r w:rsidR="007D609D">
        <w:rPr>
          <w:lang w:val="en-GB"/>
        </w:rPr>
        <w:fldChar w:fldCharType="separate"/>
      </w:r>
      <w:r w:rsidR="00833DCA">
        <w:rPr>
          <w:noProof/>
          <w:lang w:val="en-GB"/>
        </w:rPr>
        <w:t>(Eagly &amp; Diekman, 2006; Eagly &amp; Karau, 2002)</w:t>
      </w:r>
      <w:r w:rsidR="007D609D">
        <w:rPr>
          <w:lang w:val="en-GB"/>
        </w:rPr>
        <w:fldChar w:fldCharType="end"/>
      </w:r>
      <w:r w:rsidRPr="00955293">
        <w:rPr>
          <w:lang w:val="en-GB"/>
        </w:rPr>
        <w:t xml:space="preserve">, people try to act in manners that are consistent to their gender, because if they do not, they may face negative consequences. This gender-essentialist ideology is rooted very deeply. For example, </w:t>
      </w:r>
      <w:r w:rsidR="008B6D79">
        <w:rPr>
          <w:lang w:val="en-GB"/>
        </w:rPr>
        <w:fldChar w:fldCharType="begin"/>
      </w:r>
      <w:r w:rsidR="00833DCA">
        <w:rPr>
          <w:lang w:val="en-GB"/>
        </w:rPr>
        <w:instrText xml:space="preserve"> ADDIN EN.CITE &lt;EndNote&gt;&lt;Cite AuthorYear="1"&gt;&lt;Author&gt;Schwiter&lt;/Author&gt;&lt;Year&gt;2014&lt;/Year&gt;&lt;RecNum&gt;755&lt;/RecNum&gt;&lt;DisplayText&gt;Schwiter et al. (2014)&lt;/DisplayText&gt;&lt;record&gt;&lt;rec-number&gt;755&lt;/rec-number&gt;&lt;foreign-keys&gt;&lt;key app="EN" db-id="wzre9as2u2ffe2e0tf2vtwr1wsd02s5x5zr0" timestamp="1492520479"&gt;755&lt;/key&gt;&lt;/foreign-keys&gt;&lt;ref-type name="Journal Article"&gt;17&lt;/ref-type&gt;&lt;contributors&gt;&lt;authors&gt;&lt;author&gt;Schwiter, Karin&lt;/author&gt;&lt;author&gt;Hupka-Brunner, Sandra&lt;/author&gt;&lt;author&gt;Wehner, Nina&lt;/author&gt;&lt;author&gt;Huber, Evéline&lt;/author&gt;&lt;author&gt;Kanji, Shireen&lt;/author&gt;&lt;author&gt;Maihofer, Andrea&lt;/author&gt;&lt;author&gt;Bergman, Manfred M&lt;/author&gt;&lt;/authors&gt;&lt;/contributors&gt;&lt;titles&gt;&lt;title&gt;Warum sind Pflegefachmänner und Elektrikerinnen nach wie vor selten? Geschlechtersegregation in Ausbildungs-und Berufsverlaufen junger Erwachsener in der Schweiz&lt;/title&gt;&lt;secondary-title&gt;Schweizerische Zeitschrift für Soziologie&lt;/secondary-title&gt;&lt;/titles&gt;&lt;periodical&gt;&lt;full-title&gt;Schweizerische Zeitschrift für Soziologie&lt;/full-title&gt;&lt;/periodical&gt;&lt;pages&gt;401-428&lt;/pages&gt;&lt;volume&gt;40&lt;/volume&gt;&lt;number&gt;3&lt;/number&gt;&lt;dates&gt;&lt;year&gt;2014&lt;/year&gt;&lt;/dates&gt;&lt;isbn&gt;0379-3664&lt;/isbn&gt;&lt;urls&gt;&lt;/urls&gt;&lt;/record&gt;&lt;/Cite&gt;&lt;/EndNote&gt;</w:instrText>
      </w:r>
      <w:r w:rsidR="008B6D79">
        <w:rPr>
          <w:lang w:val="en-GB"/>
        </w:rPr>
        <w:fldChar w:fldCharType="separate"/>
      </w:r>
      <w:r w:rsidR="00833DCA">
        <w:rPr>
          <w:noProof/>
          <w:lang w:val="en-GB"/>
        </w:rPr>
        <w:t>Schwiter et al. (2014)</w:t>
      </w:r>
      <w:r w:rsidR="008B6D79">
        <w:rPr>
          <w:lang w:val="en-GB"/>
        </w:rPr>
        <w:fldChar w:fldCharType="end"/>
      </w:r>
      <w:r w:rsidR="008B6D79">
        <w:rPr>
          <w:lang w:val="en-GB"/>
        </w:rPr>
        <w:t xml:space="preserve"> </w:t>
      </w:r>
      <w:r w:rsidRPr="00955293">
        <w:rPr>
          <w:lang w:val="en-GB"/>
        </w:rPr>
        <w:t>have shown that boys and girl develop occupational preferences and aspirations that correspond to their own gender in a very early age</w:t>
      </w:r>
      <w:r w:rsidR="00BB3D41">
        <w:rPr>
          <w:lang w:val="en-GB"/>
        </w:rPr>
        <w:t xml:space="preserve"> </w:t>
      </w:r>
      <w:r w:rsidR="00BB3D41">
        <w:rPr>
          <w:lang w:val="en-GB"/>
        </w:rPr>
        <w:fldChar w:fldCharType="begin"/>
      </w:r>
      <w:r w:rsidR="00833DCA">
        <w:rPr>
          <w:lang w:val="en-GB"/>
        </w:rPr>
        <w:instrText xml:space="preserve"> ADDIN EN.CITE &lt;EndNote&gt;&lt;Cite&gt;&lt;Author&gt;Buchmann&lt;/Author&gt;&lt;Year&gt;2012&lt;/Year&gt;&lt;RecNum&gt;1187&lt;/RecNum&gt;&lt;Prefix&gt;see also &lt;/Prefix&gt;&lt;DisplayText&gt;(see also M. Buchmann &amp;amp; Kriesi, 2012)&lt;/DisplayText&gt;&lt;record&gt;&lt;rec-number&gt;1187&lt;/rec-number&gt;&lt;foreign-keys&gt;&lt;key app="EN" db-id="wzre9as2u2ffe2e0tf2vtwr1wsd02s5x5zr0" timestamp="1504002023"&gt;1187&lt;/key&gt;&lt;/foreign-keys&gt;&lt;ref-type name="Book Section"&gt;5&lt;/ref-type&gt;&lt;contributors&gt;&lt;authors&gt;&lt;author&gt;Buchmann, Marlis&lt;/author&gt;&lt;author&gt;Kriesi, Irene&lt;/author&gt;&lt;/authors&gt;&lt;/contributors&gt;&lt;titles&gt;&lt;title&gt;Geschlechtstypische Berufswahl: Begabungszuschreibungen, Aspirationen und Institutionen&lt;/title&gt;&lt;secondary-title&gt;Soziologische Bildungsforschung&lt;/secondary-title&gt;&lt;/titles&gt;&lt;pages&gt;256-280&lt;/pages&gt;&lt;dates&gt;&lt;year&gt;2012&lt;/year&gt;&lt;/dates&gt;&lt;publisher&gt;Springer&lt;/publisher&gt;&lt;urls&gt;&lt;/urls&gt;&lt;/record&gt;&lt;/Cite&gt;&lt;/EndNote&gt;</w:instrText>
      </w:r>
      <w:r w:rsidR="00BB3D41">
        <w:rPr>
          <w:lang w:val="en-GB"/>
        </w:rPr>
        <w:fldChar w:fldCharType="separate"/>
      </w:r>
      <w:r w:rsidR="00833DCA">
        <w:rPr>
          <w:noProof/>
          <w:lang w:val="en-GB"/>
        </w:rPr>
        <w:t>(see also M. Buchmann &amp; Kriesi, 2012)</w:t>
      </w:r>
      <w:r w:rsidR="00BB3D41">
        <w:rPr>
          <w:lang w:val="en-GB"/>
        </w:rPr>
        <w:fldChar w:fldCharType="end"/>
      </w:r>
      <w:r w:rsidRPr="00955293">
        <w:rPr>
          <w:lang w:val="en-GB"/>
        </w:rPr>
        <w:t xml:space="preserve">. </w:t>
      </w:r>
    </w:p>
    <w:p w14:paraId="291CEDF4" w14:textId="5389E4C6" w:rsidR="004E1399" w:rsidRPr="00955293" w:rsidRDefault="004E1399" w:rsidP="006A5BD7">
      <w:pPr>
        <w:spacing w:after="240" w:line="240" w:lineRule="auto"/>
        <w:jc w:val="both"/>
        <w:rPr>
          <w:lang w:val="en-US"/>
        </w:rPr>
      </w:pPr>
      <w:r w:rsidRPr="00955293">
        <w:rPr>
          <w:lang w:val="en-GB"/>
        </w:rPr>
        <w:t>Whether these gender stereotypes differ by social class is less well researched</w:t>
      </w:r>
      <w:r w:rsidR="00BB3D41">
        <w:rPr>
          <w:lang w:val="en-GB"/>
        </w:rPr>
        <w:t xml:space="preserve"> </w:t>
      </w:r>
      <w:r w:rsidR="00BB3D41">
        <w:rPr>
          <w:lang w:val="en-GB"/>
        </w:rPr>
        <w:fldChar w:fldCharType="begin"/>
      </w:r>
      <w:r w:rsidR="00833DCA">
        <w:rPr>
          <w:lang w:val="en-GB"/>
        </w:rPr>
        <w:instrText xml:space="preserve"> ADDIN EN.CITE &lt;EndNote&gt;&lt;Cite&gt;&lt;Author&gt;Rivera&lt;/Author&gt;&lt;Year&gt;2016&lt;/Year&gt;&lt;RecNum&gt;723&lt;/RecNum&gt;&lt;Prefix&gt;for a detailed account of gender and class stereotyping in an elite labour market see &lt;/Prefix&gt;&lt;DisplayText&gt;(for a detailed account of gender and class stereotyping in an elite labour market see Rivera &amp;amp; Tilcsik, 2016)&lt;/DisplayText&gt;&lt;record&gt;&lt;rec-number&gt;723&lt;/rec-number&gt;&lt;foreign-keys&gt;&lt;key app="EN" db-id="wzre9as2u2ffe2e0tf2vtwr1wsd02s5x5zr0" timestamp="1487344085"&gt;723&lt;/key&gt;&lt;/foreign-keys&gt;&lt;ref-type name="Journal Article"&gt;17&lt;/ref-type&gt;&lt;contributors&gt;&lt;authors&gt;&lt;author&gt;Rivera, Lauren A.&lt;/author&gt;&lt;author&gt;Tilcsik, András&lt;/author&gt;&lt;/authors&gt;&lt;/contributors&gt;&lt;titles&gt;&lt;title&gt;Class advantage, commitment penalty: the gendered effect of social class signals in an elite labor market&lt;/title&gt;&lt;secondary-title&gt;American Sociological Review&lt;/secondary-title&gt;&lt;/titles&gt;&lt;periodical&gt;&lt;full-title&gt;American Sociological Review&lt;/full-title&gt;&lt;/periodical&gt;&lt;pages&gt;1097-1131&lt;/pages&gt;&lt;volume&gt;81&lt;/volume&gt;&lt;number&gt;6&lt;/number&gt;&lt;dates&gt;&lt;year&gt;2016&lt;/year&gt;&lt;/dates&gt;&lt;isbn&gt;0003-1224&lt;/isbn&gt;&lt;urls&gt;&lt;/urls&gt;&lt;/record&gt;&lt;/Cite&gt;&lt;/EndNote&gt;</w:instrText>
      </w:r>
      <w:r w:rsidR="00BB3D41">
        <w:rPr>
          <w:lang w:val="en-GB"/>
        </w:rPr>
        <w:fldChar w:fldCharType="separate"/>
      </w:r>
      <w:r w:rsidR="00833DCA">
        <w:rPr>
          <w:noProof/>
          <w:lang w:val="en-GB"/>
        </w:rPr>
        <w:t>(for a detailed account of gender and class stereotyping in an elite labour market see Rivera &amp; Tilcsik, 2016)</w:t>
      </w:r>
      <w:r w:rsidR="00BB3D41">
        <w:rPr>
          <w:lang w:val="en-GB"/>
        </w:rPr>
        <w:fldChar w:fldCharType="end"/>
      </w:r>
      <w:r w:rsidRPr="00955293">
        <w:rPr>
          <w:lang w:val="en-GB"/>
        </w:rPr>
        <w:t>.</w:t>
      </w:r>
      <w:r w:rsidR="00682E27">
        <w:rPr>
          <w:lang w:val="en-GB"/>
        </w:rPr>
        <w:t xml:space="preserve"> </w:t>
      </w:r>
      <w:r w:rsidR="00682E27">
        <w:rPr>
          <w:lang w:val="en-GB"/>
        </w:rPr>
        <w:fldChar w:fldCharType="begin"/>
      </w:r>
      <w:r w:rsidR="009D42F9">
        <w:rPr>
          <w:lang w:val="en-GB"/>
        </w:rPr>
        <w:instrText xml:space="preserve"> ADDIN EN.CITE &lt;EndNote&gt;&lt;Cite AuthorYear="1"&gt;&lt;Author&gt;England&lt;/Author&gt;&lt;Year&gt;2010&lt;/Year&gt;&lt;RecNum&gt;900&lt;/RecNum&gt;&lt;DisplayText&gt;England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82E27">
        <w:rPr>
          <w:lang w:val="en-GB"/>
        </w:rPr>
        <w:fldChar w:fldCharType="separate"/>
      </w:r>
      <w:r w:rsidR="00682E27">
        <w:rPr>
          <w:noProof/>
          <w:lang w:val="en-GB"/>
        </w:rPr>
        <w:t>England (2010)</w:t>
      </w:r>
      <w:r w:rsidR="00682E27">
        <w:rPr>
          <w:lang w:val="en-GB"/>
        </w:rPr>
        <w:fldChar w:fldCharType="end"/>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female job, while for upper class women this is less true, as female typical jobs are often lower in status </w:t>
      </w:r>
      <w:r w:rsidR="00653F8F">
        <w:rPr>
          <w:lang w:val="en-GB"/>
        </w:rPr>
        <w:fldChar w:fldCharType="begin"/>
      </w:r>
      <w:r w:rsidR="00833DCA">
        <w:rPr>
          <w:lang w:val="en-GB"/>
        </w:rPr>
        <w:instrText xml:space="preserve"> ADDIN EN.CITE &lt;EndNote&gt;&lt;Cite&gt;&lt;Author&gt;England&lt;/Author&gt;&lt;Year&gt;2010&lt;/Year&gt;&lt;RecNum&gt;900&lt;/RecNum&gt;&lt;DisplayText&gt;(England,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53F8F">
        <w:rPr>
          <w:lang w:val="en-GB"/>
        </w:rPr>
        <w:fldChar w:fldCharType="separate"/>
      </w:r>
      <w:r w:rsidR="00833DCA">
        <w:rPr>
          <w:noProof/>
          <w:lang w:val="en-GB"/>
        </w:rPr>
        <w:t>(England, 2010)</w:t>
      </w:r>
      <w:r w:rsidR="00653F8F">
        <w:rPr>
          <w:lang w:val="en-GB"/>
        </w:rPr>
        <w:fldChar w:fldCharType="end"/>
      </w:r>
      <w:r w:rsidRPr="00955293">
        <w:rPr>
          <w:lang w:val="en-GB"/>
        </w:rPr>
        <w:t>. This means that an interplay between gender and social origin shapes young adults school trajectories and subsequently influences their labour market opportunities.</w:t>
      </w:r>
    </w:p>
    <w:p w14:paraId="55E17564" w14:textId="5B2E6A16"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w:t>
      </w:r>
      <w:r w:rsidR="007323D5">
        <w:rPr>
          <w:lang w:val="en-GB"/>
        </w:rPr>
        <w:t xml:space="preserve"> gender segregation and segregation by parental status,</w:t>
      </w:r>
      <w:r w:rsidRPr="00955293">
        <w:rPr>
          <w:lang w:val="en-GB"/>
        </w:rPr>
        <w:t xml:space="preserve"> but not conjointly. We therefore attempt to consider both, gender and social stratification in the educational trajectory, including aspects of horizontal and vertical segregation.</w:t>
      </w:r>
    </w:p>
    <w:p w14:paraId="45616FAB" w14:textId="10470985" w:rsidR="004E1399" w:rsidRPr="00955293" w:rsidRDefault="004E1399" w:rsidP="006A5BD7">
      <w:pPr>
        <w:spacing w:after="240" w:line="240" w:lineRule="auto"/>
        <w:jc w:val="both"/>
        <w:rPr>
          <w:lang w:val="en-GB"/>
        </w:rPr>
      </w:pPr>
      <w:r w:rsidRPr="00955293">
        <w:rPr>
          <w:lang w:val="en-GB"/>
        </w:rPr>
        <w:lastRenderedPageBreak/>
        <w:t>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w:t>
      </w:r>
      <w:r w:rsidR="000E50C7">
        <w:rPr>
          <w:lang w:val="en-GB"/>
        </w:rPr>
        <w:t xml:space="preserve"> </w:t>
      </w:r>
      <w:r w:rsidR="000E50C7">
        <w:rPr>
          <w:lang w:val="en-GB"/>
        </w:rPr>
        <w:fldChar w:fldCharType="begin"/>
      </w:r>
      <w:r w:rsidR="00833DCA">
        <w:rPr>
          <w:lang w:val="en-GB"/>
        </w:rPr>
        <w:instrText xml:space="preserve"> ADDIN EN.CITE &lt;EndNote&gt;&lt;Cite AuthorYear="1"&gt;&lt;Author&gt;Imdorf&lt;/Author&gt;&lt;Year&gt;2017&lt;/Year&gt;&lt;RecNum&gt;1647&lt;/RecNum&gt;&lt;DisplayText&gt;Imdorf, Koomen, Murdoch, and Guégnard (2017)&lt;/DisplayText&gt;&lt;record&gt;&lt;rec-number&gt;1647&lt;/rec-number&gt;&lt;foreign-keys&gt;&lt;key app="EN" db-id="wzre9as2u2ffe2e0tf2vtwr1wsd02s5x5zr0" timestamp="1542639403"&gt;1647&lt;/key&gt;&lt;/foreign-keys&gt;&lt;ref-type name="Journal Article"&gt;17&lt;/ref-type&gt;&lt;contributors&gt;&lt;authors&gt;&lt;author&gt;Imdorf, Christian&lt;/author&gt;&lt;author&gt;Koomen, Maarten&lt;/author&gt;&lt;author&gt;Murdoch, Jake&lt;/author&gt;&lt;author&gt;Guégnard, Christine&lt;/author&gt;&lt;/authors&gt;&lt;/contributors&gt;&lt;titles&gt;&lt;title&gt;Do vocational pathways improve higher education access for women and men from less privileged social backgrounds? A comparison of vocational tracks to higher education in France and Switzerland&lt;/title&gt;&lt;secondary-title&gt;Rassegna Italiana di Sociologia&lt;/secondary-title&gt;&lt;/titles&gt;&lt;periodical&gt;&lt;full-title&gt;Rassegna italiana di Sociologia&lt;/full-title&gt;&lt;/periodical&gt;&lt;pages&gt;283-314&lt;/pages&gt;&lt;volume&gt;58&lt;/volume&gt;&lt;number&gt;2&lt;/number&gt;&lt;dates&gt;&lt;year&gt;2017&lt;/year&gt;&lt;/dates&gt;&lt;isbn&gt;0486-0349&lt;/isbn&gt;&lt;urls&gt;&lt;/urls&gt;&lt;/record&gt;&lt;/Cite&gt;&lt;/EndNote&gt;</w:instrText>
      </w:r>
      <w:r w:rsidR="000E50C7">
        <w:rPr>
          <w:lang w:val="en-GB"/>
        </w:rPr>
        <w:fldChar w:fldCharType="separate"/>
      </w:r>
      <w:r w:rsidR="00833DCA">
        <w:rPr>
          <w:noProof/>
          <w:lang w:val="en-GB"/>
        </w:rPr>
        <w:t>Imdorf, Koomen, Murdoch, and Guégnard (2017)</w:t>
      </w:r>
      <w:r w:rsidR="000E50C7">
        <w:rPr>
          <w:lang w:val="en-GB"/>
        </w:rPr>
        <w:fldChar w:fldCharType="end"/>
      </w:r>
      <w:r w:rsidRPr="00955293">
        <w:rPr>
          <w:lang w:val="en-GB"/>
        </w:rPr>
        <w:t xml:space="preserve">, </w:t>
      </w:r>
      <w:r w:rsidR="000E50C7">
        <w:rPr>
          <w:lang w:val="en-GB"/>
        </w:rPr>
        <w:fldChar w:fldCharType="begin"/>
      </w:r>
      <w:r w:rsidR="000E50C7">
        <w:rPr>
          <w:lang w:val="en-GB"/>
        </w:rPr>
        <w:instrText xml:space="preserve"> ADDIN EN.CITE &lt;EndNote&gt;&lt;Cite AuthorYear="1"&gt;&lt;Author&gt;Glauser&lt;/Author&gt;&lt;Year&gt;2015&lt;/Year&gt;&lt;RecNum&gt;1648&lt;/RecNum&gt;&lt;Suffix&gt;`, chapter 2.1&lt;/Suffix&gt;&lt;DisplayText&gt;Glauser (2015, chapter 2.1)&lt;/DisplayText&gt;&lt;record&gt;&lt;rec-number&gt;1648&lt;/rec-number&gt;&lt;foreign-keys&gt;&lt;key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0E50C7">
        <w:rPr>
          <w:lang w:val="en-GB"/>
        </w:rPr>
        <w:fldChar w:fldCharType="separate"/>
      </w:r>
      <w:r w:rsidR="000E50C7">
        <w:rPr>
          <w:noProof/>
          <w:lang w:val="en-GB"/>
        </w:rPr>
        <w:t>Glauser (2015, chapter 2.1)</w:t>
      </w:r>
      <w:r w:rsidR="000E50C7">
        <w:rPr>
          <w:lang w:val="en-GB"/>
        </w:rPr>
        <w:fldChar w:fldCharType="end"/>
      </w:r>
      <w:r w:rsidR="000E50C7">
        <w:rPr>
          <w:lang w:val="en-GB"/>
        </w:rPr>
        <w:t xml:space="preserve"> </w:t>
      </w:r>
      <w:r w:rsidRPr="00955293">
        <w:rPr>
          <w:lang w:val="en-GB"/>
        </w:rPr>
        <w:t>or</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AuthorYear="1"&gt;&lt;Author&gt;Imdorf&lt;/Author&gt;&lt;Year&gt;2015&lt;/Year&gt;&lt;RecNum&gt;532&lt;/RecNum&gt;&lt;DisplayText&gt;Imdorf and Hupka-Brunner (2015)&lt;/DisplayText&gt;&lt;record&gt;&lt;rec-number&gt;532&lt;/rec-number&gt;&lt;foreign-keys&gt;&lt;key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Publishing&lt;/publisher&gt;&lt;isbn&gt;1784715034&lt;/isbn&gt;&lt;urls&gt;&lt;/urls&gt;&lt;/record&gt;&lt;/Cite&gt;&lt;/EndNote&gt;</w:instrText>
      </w:r>
      <w:r w:rsidR="000E50C7">
        <w:rPr>
          <w:lang w:val="en-GB"/>
        </w:rPr>
        <w:fldChar w:fldCharType="separate"/>
      </w:r>
      <w:r w:rsidR="000E50C7">
        <w:rPr>
          <w:noProof/>
          <w:lang w:val="en-GB"/>
        </w:rPr>
        <w:t>Imdorf and Hupka-Brunner (2015)</w:t>
      </w:r>
      <w:r w:rsidR="000E50C7">
        <w:rPr>
          <w:lang w:val="en-GB"/>
        </w:rPr>
        <w:fldChar w:fldCharType="end"/>
      </w:r>
      <w:r w:rsidRPr="00955293">
        <w:rPr>
          <w:lang w:val="en-GB"/>
        </w:rPr>
        <w:t>.</w:t>
      </w:r>
    </w:p>
    <w:p w14:paraId="4605D401" w14:textId="0E6C70CF" w:rsidR="004E1399" w:rsidRPr="00955293" w:rsidRDefault="004E1399" w:rsidP="006A5BD7">
      <w:pPr>
        <w:spacing w:after="240" w:line="240" w:lineRule="auto"/>
        <w:jc w:val="both"/>
        <w:rPr>
          <w:lang w:val="en-GB"/>
        </w:rPr>
      </w:pPr>
      <w:r w:rsidRPr="00955293">
        <w:rPr>
          <w:lang w:val="en-GB"/>
        </w:rPr>
        <w:t>In line with the theories sketched above and due to the specificity of the Swiss educational system, it can be assumed that the higher the socioeconomic status of the parents, the better the school performance of children and the more likely it is that they follow an academic educational trajectory. We believe that this is 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is provided via general schools on secondary level.</w:t>
      </w:r>
      <w:r w:rsidR="00224627">
        <w:rPr>
          <w:rStyle w:val="Funotenzeichen"/>
          <w:lang w:val="en-GB"/>
        </w:rPr>
        <w:footnoteReference w:id="1"/>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0B3B408B" w:rsidR="004E1399" w:rsidRPr="00955293" w:rsidRDefault="004E1399" w:rsidP="006A5BD7">
      <w:pPr>
        <w:spacing w:after="240" w:line="240" w:lineRule="auto"/>
        <w:jc w:val="both"/>
        <w:rPr>
          <w:lang w:val="en-GB"/>
        </w:rPr>
      </w:pPr>
      <w:r w:rsidRPr="00955293">
        <w:rPr>
          <w:lang w:val="en-GB"/>
        </w:rPr>
        <w:t>To analyse students’ skills in reading, mathematics and science, we used the “Warm estimate” from the PISA 2000 database. These scores consist of the weighted averages of correct answers to all questions of a specific category. The weighting procedure follows Warm’s</w:t>
      </w:r>
      <w:r w:rsidR="00084ACB">
        <w:rPr>
          <w:lang w:val="en-GB"/>
        </w:rPr>
        <w:t xml:space="preserve"> </w:t>
      </w:r>
      <w:r w:rsidR="00084ACB">
        <w:rPr>
          <w:lang w:val="en-GB"/>
        </w:rPr>
        <w:fldChar w:fldCharType="begin"/>
      </w:r>
      <w:r w:rsidR="00084ACB">
        <w:rPr>
          <w:lang w:val="en-GB"/>
        </w:rPr>
        <w:instrText xml:space="preserve"> ADDIN EN.CITE &lt;EndNote&gt;&lt;Cite ExcludeAuth="1"&gt;&lt;Author&gt;Warm&lt;/Author&gt;&lt;Year&gt;1989&lt;/Year&gt;&lt;RecNum&gt;1642&lt;/RecNum&gt;&lt;DisplayText&gt;(1989)&lt;/DisplayText&gt;&lt;record&gt;&lt;rec-number&gt;1642&lt;/rec-number&gt;&lt;foreign-keys&gt;&lt;key app="EN" db-id="wzre9as2u2ffe2e0tf2vtwr1wsd02s5x5zr0" timestamp="1540224779"&gt;1642&lt;/key&gt;&lt;/foreign-keys&gt;&lt;ref-type name="Journal Article"&gt;17&lt;/ref-type&gt;&lt;contributors&gt;&lt;authors&gt;&lt;author&gt;Warm, Thomas A.&lt;/author&gt;&lt;/authors&gt;&lt;/contributors&gt;&lt;titles&gt;&lt;title&gt;Weighted likelihood estimation of ability in item response theory&lt;/title&gt;&lt;secondary-title&gt;Psychometrika&lt;/secondary-title&gt;&lt;/titles&gt;&lt;periodical&gt;&lt;full-title&gt;Psychometrika&lt;/full-title&gt;&lt;/periodical&gt;&lt;pages&gt;427-450&lt;/pages&gt;&lt;volume&gt;54&lt;/volume&gt;&lt;number&gt;3&lt;/number&gt;&lt;dates&gt;&lt;year&gt;1989&lt;/year&gt;&lt;/dates&gt;&lt;isbn&gt;0033-3123&lt;/isbn&gt;&lt;urls&gt;&lt;/urls&gt;&lt;/record&gt;&lt;/Cite&gt;&lt;/EndNote&gt;</w:instrText>
      </w:r>
      <w:r w:rsidR="00084ACB">
        <w:rPr>
          <w:lang w:val="en-GB"/>
        </w:rPr>
        <w:fldChar w:fldCharType="separate"/>
      </w:r>
      <w:r w:rsidR="00084ACB">
        <w:rPr>
          <w:noProof/>
          <w:lang w:val="en-GB"/>
        </w:rPr>
        <w:t>(1989)</w:t>
      </w:r>
      <w:r w:rsidR="00084ACB">
        <w:rPr>
          <w:lang w:val="en-GB"/>
        </w:rPr>
        <w:fldChar w:fldCharType="end"/>
      </w:r>
      <w:r w:rsidRPr="00955293">
        <w:rPr>
          <w:lang w:val="en-GB"/>
        </w:rPr>
        <w:t xml:space="preserve"> method of a weighed likelihood estimate (WLE). The main focus of the PISA 2000 tests were the reading skills. All students answered the reading assignments, but </w:t>
      </w:r>
      <w:r w:rsidR="001630B6">
        <w:rPr>
          <w:lang w:val="en-GB"/>
        </w:rPr>
        <w:t xml:space="preserve">half of them answered </w:t>
      </w:r>
      <w:r w:rsidRPr="00955293">
        <w:rPr>
          <w:lang w:val="en-GB"/>
        </w:rPr>
        <w:t>only either the mathematics or the science tasks. To reach a bigger number of cases we combine</w:t>
      </w:r>
      <w:r w:rsidR="00E21FCA">
        <w:rPr>
          <w:lang w:val="en-GB"/>
        </w:rPr>
        <w:t>d</w:t>
      </w:r>
      <w:r w:rsidRPr="00955293">
        <w:rPr>
          <w:lang w:val="en-GB"/>
        </w:rPr>
        <w:t xml:space="preserve"> the two scores of mathematics and science.</w:t>
      </w:r>
      <w:r w:rsidR="00E21FCA">
        <w:rPr>
          <w:lang w:val="en-GB"/>
        </w:rPr>
        <w:t xml:space="preserve"> </w:t>
      </w:r>
      <w:r w:rsidR="001630B6">
        <w:rPr>
          <w:lang w:val="en-GB"/>
        </w:rPr>
        <w:t>We used the scores from the test taken. If both were taken, we calculated the mean score of the two tests</w:t>
      </w:r>
      <w:r w:rsidR="00E21FCA">
        <w:rPr>
          <w:lang w:val="en-GB"/>
        </w:rPr>
        <w:t>.</w:t>
      </w:r>
      <w:r w:rsidRPr="00955293">
        <w:rPr>
          <w:lang w:val="en-GB"/>
        </w:rPr>
        <w:t xml:space="preserve"> A further variable used from the PISA database is the socioeconomic status of the parents. We use the international socioeconomic index (ISEI), either from the father or the mother, depending on which one is higher. This score is based on the students information on parents occupation </w:t>
      </w:r>
      <w:r w:rsidR="003B051E">
        <w:rPr>
          <w:lang w:val="en-GB"/>
        </w:rPr>
        <w:fldChar w:fldCharType="begin"/>
      </w:r>
      <w:r w:rsidR="00833DCA">
        <w:rPr>
          <w:lang w:val="en-GB"/>
        </w:rPr>
        <w:instrText xml:space="preserve"> ADDIN EN.CITE &lt;EndNote&gt;&lt;Cite&gt;&lt;Author&gt;Adams&lt;/Author&gt;&lt;Year&gt;2003&lt;/Year&gt;&lt;RecNum&gt;1640&lt;/RecNum&gt;&lt;DisplayText&gt;(Adams &amp;amp; Wu, 2003)&lt;/DisplayText&gt;&lt;record&gt;&lt;rec-number&gt;1640&lt;/rec-number&gt;&lt;foreign-keys&gt;&lt;key app="EN" db-id="wzre9as2u2ffe2e0tf2vtwr1wsd02s5x5zr0" timestamp="1540223842"&gt;1640&lt;/key&gt;&lt;/foreign-keys&gt;&lt;ref-type name="Book"&gt;6&lt;/ref-type&gt;&lt;contributors&gt;&lt;authors&gt;&lt;author&gt;Ray Adams&lt;/author&gt;&lt;author&gt;Margaret Wu&lt;/author&gt;&lt;/authors&gt;&lt;/contributors&gt;&lt;titles&gt;&lt;title&gt;PISA Programme for international student assessment (PISA) PISA 2000 technical report&lt;/title&gt;&lt;/titles&gt;&lt;dates&gt;&lt;year&gt;2003&lt;/year&gt;&lt;/dates&gt;&lt;publisher&gt;oecd Publishing&lt;/publisher&gt;&lt;isbn&gt;9264199527&lt;/isbn&gt;&lt;urls&gt;&lt;/urls&gt;&lt;/record&gt;&lt;/Cite&gt;&lt;/EndNote&gt;</w:instrText>
      </w:r>
      <w:r w:rsidR="003B051E">
        <w:rPr>
          <w:lang w:val="en-GB"/>
        </w:rPr>
        <w:fldChar w:fldCharType="separate"/>
      </w:r>
      <w:r w:rsidR="00833DCA">
        <w:rPr>
          <w:noProof/>
          <w:lang w:val="en-GB"/>
        </w:rPr>
        <w:t>(Adams &amp; Wu, 2003)</w:t>
      </w:r>
      <w:r w:rsidR="003B051E">
        <w:rPr>
          <w:lang w:val="en-GB"/>
        </w:rPr>
        <w:fldChar w:fldCharType="end"/>
      </w:r>
      <w:r w:rsidRPr="00955293">
        <w:rPr>
          <w:lang w:val="en-GB"/>
        </w:rPr>
        <w:t xml:space="preserve">. </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commentRangeStart w:id="4"/>
      <w:r w:rsidRPr="00955293">
        <w:rPr>
          <w:lang w:val="en-US"/>
        </w:rPr>
        <w:t xml:space="preserve">Vocational </w:t>
      </w:r>
      <w:commentRangeEnd w:id="4"/>
      <w:r w:rsidR="00224627">
        <w:rPr>
          <w:rStyle w:val="Kommentarzeichen"/>
          <w:rFonts w:asciiTheme="minorHAnsi" w:eastAsiaTheme="minorHAnsi" w:hAnsiTheme="minorHAnsi" w:cstheme="minorBidi"/>
          <w:lang w:val="en-GB"/>
        </w:rPr>
        <w:commentReference w:id="4"/>
      </w:r>
      <w:r w:rsidRPr="00955293">
        <w:rPr>
          <w:lang w:val="en-US"/>
        </w:rPr>
        <w:t>education and training on secondary level (e.g. apprenticeship)</w:t>
      </w:r>
    </w:p>
    <w:p w14:paraId="536B665B" w14:textId="00CFD379" w:rsidR="004E1399" w:rsidRPr="00955293" w:rsidRDefault="00C12E78" w:rsidP="006A5BD7">
      <w:pPr>
        <w:numPr>
          <w:ilvl w:val="0"/>
          <w:numId w:val="7"/>
        </w:numPr>
        <w:spacing w:after="240" w:line="240" w:lineRule="auto"/>
        <w:jc w:val="both"/>
        <w:rPr>
          <w:lang w:val="en-US"/>
        </w:rPr>
      </w:pPr>
      <w:r>
        <w:rPr>
          <w:lang w:val="en-US"/>
        </w:rPr>
        <w:t xml:space="preserve">Upper secondary specialized </w:t>
      </w:r>
      <w:r w:rsidR="00F37615">
        <w:rPr>
          <w:lang w:val="en-US"/>
        </w:rPr>
        <w:t>school</w:t>
      </w:r>
      <w:r w:rsidR="004E1399" w:rsidRPr="00955293">
        <w:rPr>
          <w:lang w:val="en-US"/>
        </w:rPr>
        <w:t xml:space="preserve"> (e.g. schools that prepare for further education, mainly in the health sector)</w:t>
      </w:r>
    </w:p>
    <w:p w14:paraId="5A429C48" w14:textId="23EBD5C1" w:rsidR="004E1399" w:rsidRPr="00955293" w:rsidRDefault="004E1399" w:rsidP="006A5BD7">
      <w:pPr>
        <w:numPr>
          <w:ilvl w:val="0"/>
          <w:numId w:val="7"/>
        </w:numPr>
        <w:spacing w:after="240" w:line="240" w:lineRule="auto"/>
        <w:jc w:val="both"/>
        <w:rPr>
          <w:lang w:val="en-US"/>
        </w:rPr>
      </w:pPr>
      <w:r w:rsidRPr="00955293">
        <w:rPr>
          <w:lang w:val="en-US"/>
        </w:rPr>
        <w:t xml:space="preserve">General secondary education (e.g. </w:t>
      </w:r>
      <w:r w:rsidR="00F37615">
        <w:rPr>
          <w:lang w:val="en-US"/>
        </w:rPr>
        <w:t>baccalaureate</w:t>
      </w:r>
      <w:r w:rsidRPr="00955293">
        <w:rPr>
          <w:lang w:val="en-US"/>
        </w:rPr>
        <w:t xml:space="preserve"> school)</w:t>
      </w:r>
    </w:p>
    <w:p w14:paraId="48724D39" w14:textId="37431498" w:rsidR="004E1399" w:rsidRPr="00955293" w:rsidRDefault="00F37615" w:rsidP="006A5BD7">
      <w:pPr>
        <w:numPr>
          <w:ilvl w:val="0"/>
          <w:numId w:val="7"/>
        </w:numPr>
        <w:spacing w:after="240" w:line="240" w:lineRule="auto"/>
        <w:jc w:val="both"/>
        <w:rPr>
          <w:lang w:val="en-US"/>
        </w:rPr>
      </w:pPr>
      <w:r>
        <w:rPr>
          <w:lang w:val="en-US"/>
        </w:rPr>
        <w:lastRenderedPageBreak/>
        <w:t>College of higher education</w:t>
      </w:r>
      <w:r w:rsidR="004E1399" w:rsidRPr="00955293">
        <w:rPr>
          <w:lang w:val="en-US"/>
        </w:rPr>
        <w:t xml:space="preserve">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07E35E3A" w:rsidR="004E1399" w:rsidRPr="00955293" w:rsidRDefault="004E1399" w:rsidP="006A5BD7">
      <w:pPr>
        <w:numPr>
          <w:ilvl w:val="0"/>
          <w:numId w:val="7"/>
        </w:numPr>
        <w:spacing w:after="240" w:line="240" w:lineRule="auto"/>
        <w:jc w:val="both"/>
        <w:rPr>
          <w:lang w:val="en-US"/>
        </w:rPr>
      </w:pPr>
      <w:r w:rsidRPr="00955293">
        <w:rPr>
          <w:lang w:val="en-US"/>
        </w:rPr>
        <w:t>Advanced studies</w:t>
      </w:r>
      <w:r w:rsidR="00F37615">
        <w:rPr>
          <w:lang w:val="en-US"/>
        </w:rPr>
        <w:t xml:space="preserve"> (Certificate / Diploma / Master of 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t>NEET (neither in education nor employed)</w:t>
      </w:r>
    </w:p>
    <w:p w14:paraId="2340A5AF" w14:textId="440B2D30" w:rsidR="004E1399" w:rsidRPr="00955293" w:rsidRDefault="004E1399" w:rsidP="006A5BD7">
      <w:pPr>
        <w:spacing w:after="240" w:line="240" w:lineRule="auto"/>
        <w:jc w:val="both"/>
        <w:rPr>
          <w:lang w:val="en-GB"/>
        </w:rPr>
      </w:pPr>
      <w:r w:rsidRPr="00955293">
        <w:rPr>
          <w:lang w:val="en-GB"/>
        </w:rPr>
        <w:t>Our main outcome variables are the individuals own socioeconomic status and their income in 2014, at around age 30. To measure the socioeconomic status we constructed the ISEI from the ISCO-08 that is provided in the 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w:t>
      </w:r>
      <w:r w:rsidR="000B44F6">
        <w:rPr>
          <w:lang w:val="en-GB"/>
        </w:rPr>
        <w:t xml:space="preserve"> </w:t>
      </w:r>
      <w:r w:rsidR="000B44F6">
        <w:rPr>
          <w:lang w:val="en-GB"/>
        </w:rPr>
        <w:fldChar w:fldCharType="begin"/>
      </w:r>
      <w:r w:rsidR="00833DCA">
        <w:rPr>
          <w:lang w:val="en-GB"/>
        </w:rPr>
        <w:instrText xml:space="preserve"> ADDIN EN.CITE &lt;EndNote&gt;&lt;Cite&gt;&lt;Author&gt;Gomensoro&lt;/Author&gt;&lt;Year&gt;2017&lt;/Year&gt;&lt;RecNum&gt;1646&lt;/RecNum&gt;&lt;Prefix&gt;max. 42 hours per week`; for more details see &lt;/Prefix&gt;&lt;Pages&gt;33&lt;/Pages&gt;&lt;DisplayText&gt;(max. 42 hours per week; for more details see Gomensoro et al., 2017, p. 33)&lt;/DisplayText&gt;&lt;record&gt;&lt;rec-number&gt;1646&lt;/rec-number&gt;&lt;foreign-keys&gt;&lt;key app="EN" db-id="wzre9as2u2ffe2e0tf2vtwr1wsd02s5x5zr0" timestamp="1540392376"&gt;1646&lt;/key&gt;&lt;/foreign-keys&gt;&lt;ref-type name="Report"&gt;27&lt;/ref-type&gt;&lt;contributors&gt;&lt;authors&gt;&lt;author&gt;Gomensoro, Andrés&lt;/author&gt;&lt;author&gt;Meyer, Thomas&lt;/author&gt;&lt;author&gt;Hupka-Brunner, Sandra&lt;/author&gt;&lt;author&gt;Jann, Ben&lt;/author&gt;&lt;author&gt;Müller, Barbara&lt;/author&gt;&lt;author&gt;Oesch, Dominique&lt;/author&gt;&lt;author&gt;Rudin, Melania&lt;/author&gt;&lt;author&gt;Scharenberg, Katja&lt;/author&gt;&lt;/authors&gt;&lt;/contributors&gt;&lt;titles&gt;&lt;title&gt;Employment Situation at Age Thirty. Results Update of the Swiss Panel Survey TREE&lt;/title&gt;&lt;/titles&gt;&lt;dates&gt;&lt;year&gt;2017&lt;/year&gt;&lt;/dates&gt;&lt;urls&gt;&lt;/urls&gt;&lt;/record&gt;&lt;/Cite&gt;&lt;/EndNote&gt;</w:instrText>
      </w:r>
      <w:r w:rsidR="000B44F6">
        <w:rPr>
          <w:lang w:val="en-GB"/>
        </w:rPr>
        <w:fldChar w:fldCharType="separate"/>
      </w:r>
      <w:r w:rsidR="00833DCA">
        <w:rPr>
          <w:noProof/>
          <w:lang w:val="en-GB"/>
        </w:rPr>
        <w:t>(max. 42 hours per week; for more details see Gomensoro et al., 2017, p. 33)</w:t>
      </w:r>
      <w:r w:rsidR="000B44F6">
        <w:rPr>
          <w:lang w:val="en-GB"/>
        </w:rPr>
        <w:fldChar w:fldCharType="end"/>
      </w:r>
      <w:r w:rsidRPr="00955293">
        <w:rPr>
          <w:lang w:val="en-GB"/>
        </w:rPr>
        <w:t xml:space="preserve">, and logged when used in regression models. Some of the respondents have several jobs at the time. As there is no clear information in the data, on which is the most important job, we chose to consider the job with the highest income. </w:t>
      </w:r>
      <w:r w:rsidRPr="00955293">
        <w:rPr>
          <w:lang w:val="en-GB"/>
        </w:rPr>
        <w:fldChar w:fldCharType="begin"/>
      </w:r>
      <w:r w:rsidRPr="00955293">
        <w:rPr>
          <w:lang w:val="en-GB"/>
        </w:rPr>
        <w:instrText xml:space="preserve"> REF _Ref2080484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lang w:val="en-US"/>
        </w:rPr>
        <w:t>Table</w:t>
      </w:r>
      <w:r w:rsidR="00DA61D3" w:rsidRPr="00955293">
        <w:rPr>
          <w:b/>
        </w:rPr>
        <w:t xml:space="preserve"> </w:t>
      </w:r>
      <w:r w:rsidR="00DA61D3">
        <w:rPr>
          <w:b/>
          <w:noProof/>
        </w:rPr>
        <w:t>1</w:t>
      </w:r>
      <w:r w:rsidRPr="00955293">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t>3.2. Methods</w:t>
      </w:r>
    </w:p>
    <w:p w14:paraId="443DD003" w14:textId="71DFAF52" w:rsidR="004E1399" w:rsidRPr="00955293" w:rsidRDefault="004E1399" w:rsidP="006A5BD7">
      <w:pPr>
        <w:spacing w:after="240" w:line="240" w:lineRule="auto"/>
        <w:jc w:val="both"/>
        <w:rPr>
          <w:lang w:val="en-GB"/>
        </w:rPr>
      </w:pPr>
      <w:r w:rsidRPr="00955293">
        <w:rPr>
          <w:lang w:val="en-GB"/>
        </w:rPr>
        <w:t xml:space="preserve">Empirically, we apply sequence and regression analyses. From the episodic </w:t>
      </w:r>
      <w:r w:rsidR="00EA720A" w:rsidRPr="00955293">
        <w:rPr>
          <w:lang w:val="en-GB"/>
        </w:rPr>
        <w:t>data,</w:t>
      </w:r>
      <w:r w:rsidRPr="00955293">
        <w:rPr>
          <w:lang w:val="en-GB"/>
        </w:rPr>
        <w:t xml:space="preserve"> we constructed sequences with monthly information on the education or employment status of each individual. To make sense of the multitude of sequences, we form clusters of sequences using the dynamic hamming procedure</w:t>
      </w:r>
      <w:r w:rsidR="0002443B">
        <w:rPr>
          <w:lang w:val="en-GB"/>
        </w:rPr>
        <w:t xml:space="preserve"> </w:t>
      </w:r>
      <w:r w:rsidR="0002443B">
        <w:rPr>
          <w:lang w:val="en-GB"/>
        </w:rPr>
        <w:fldChar w:fldCharType="begin"/>
      </w:r>
      <w:r w:rsidR="00833DCA">
        <w:rPr>
          <w:lang w:val="en-GB"/>
        </w:rPr>
        <w:instrText xml:space="preserve"> ADDIN EN.CITE &lt;EndNote&gt;&lt;Cite&gt;&lt;Author&gt;Lesnard&lt;/Author&gt;&lt;Year&gt;2010&lt;/Year&gt;&lt;RecNum&gt;887&lt;/RecNum&gt;&lt;DisplayText&gt;(Lesnard, 2010)&lt;/DisplayText&gt;&lt;record&gt;&lt;rec-number&gt;887&lt;/rec-number&gt;&lt;foreign-keys&gt;&lt;key app="EN" db-id="wzre9as2u2ffe2e0tf2vtwr1wsd02s5x5zr0" timestamp="1504001997"&gt;887&lt;/key&gt;&lt;/foreign-keys&gt;&lt;ref-type name="Journal Article"&gt;17&lt;/ref-type&gt;&lt;contributors&gt;&lt;authors&gt;&lt;author&gt;Lesnard, Laurent&lt;/author&gt;&lt;/authors&gt;&lt;/contributors&gt;&lt;titles&gt;&lt;title&gt;Setting cost in optimal matching to uncover contemporaneous socio-temporal patterns&lt;/title&gt;&lt;secondary-title&gt;Sociological Methods &amp;amp; Research&lt;/secondary-title&gt;&lt;/titles&gt;&lt;periodical&gt;&lt;full-title&gt;Sociological Methods &amp;amp; Research&lt;/full-title&gt;&lt;/periodical&gt;&lt;pages&gt;389-419&lt;/pages&gt;&lt;volume&gt;38&lt;/volume&gt;&lt;number&gt;3&lt;/number&gt;&lt;keywords&gt;&lt;keyword&gt;costs&lt;/keyword&gt;&lt;keyword&gt;entropy&lt;/keyword&gt;&lt;keyword&gt;optimal matching&lt;/keyword&gt;&lt;keyword&gt;work schedule&lt;/keyword&gt;&lt;/keywords&gt;&lt;dates&gt;&lt;year&gt;2010&lt;/year&gt;&lt;/dates&gt;&lt;isbn&gt;0049-1241, 1552-8294&lt;/isbn&gt;&lt;urls&gt;&lt;/urls&gt;&lt;electronic-resource-num&gt;10.1177/0049124110362526&lt;/electronic-resource-num&gt;&lt;language&gt;en&lt;/language&gt;&lt;/record&gt;&lt;/Cite&gt;&lt;/EndNote&gt;</w:instrText>
      </w:r>
      <w:r w:rsidR="0002443B">
        <w:rPr>
          <w:lang w:val="en-GB"/>
        </w:rPr>
        <w:fldChar w:fldCharType="separate"/>
      </w:r>
      <w:r w:rsidR="00833DCA">
        <w:rPr>
          <w:noProof/>
          <w:lang w:val="en-GB"/>
        </w:rPr>
        <w:t>(Lesnard, 2010)</w:t>
      </w:r>
      <w:r w:rsidR="0002443B">
        <w:rPr>
          <w:lang w:val="en-GB"/>
        </w:rPr>
        <w:fldChar w:fldCharType="end"/>
      </w:r>
      <w:r w:rsidRPr="00955293">
        <w:rPr>
          <w:lang w:val="en-GB"/>
        </w:rPr>
        <w:t>,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w:t>
      </w:r>
      <w:r w:rsidR="0002443B">
        <w:rPr>
          <w:lang w:val="en-GB"/>
        </w:rPr>
        <w:t xml:space="preserve"> </w: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02443B">
        <w:rPr>
          <w:lang w:val="en-GB"/>
        </w:rPr>
      </w:r>
      <w:r w:rsidR="0002443B">
        <w:rPr>
          <w:lang w:val="en-GB"/>
        </w:rPr>
        <w:fldChar w:fldCharType="separate"/>
      </w:r>
      <w:r w:rsidR="00833DCA">
        <w:rPr>
          <w:noProof/>
          <w:lang w:val="en-GB"/>
        </w:rPr>
        <w:t>(see for example Halpin, 2010; Lesnard, 2006; Lesnard, 2010)</w:t>
      </w:r>
      <w:r w:rsidR="0002443B">
        <w:rPr>
          <w:lang w:val="en-GB"/>
        </w:rPr>
        <w:fldChar w:fldCharType="end"/>
      </w:r>
      <w:r w:rsidRPr="00955293">
        <w:rPr>
          <w:lang w:val="en-GB"/>
        </w:rPr>
        <w:t>. From this procedure results a distance matrix that contains distances between all individual sequences. In a second step, this distance matrix is being used for cluster analysis. Similar sequences will then be grouped together in clusters of educational trajectories</w:t>
      </w:r>
      <w:r w:rsidR="00565192">
        <w:rPr>
          <w:lang w:val="en-GB"/>
        </w:rPr>
        <w:t xml:space="preserve"> </w:t>
      </w:r>
      <w:r w:rsidR="00565192">
        <w:rPr>
          <w:lang w:val="en-GB"/>
        </w:rPr>
        <w:fldChar w:fldCharType="begin"/>
      </w:r>
      <w:r w:rsidR="00833DCA">
        <w:rPr>
          <w:lang w:val="en-GB"/>
        </w:rPr>
        <w:instrText xml:space="preserve"> ADDIN EN.CITE &lt;EndNote&gt;&lt;Cite&gt;&lt;Author&gt;Brzinsky-Fay&lt;/Author&gt;&lt;Year&gt;2010&lt;/Year&gt;&lt;RecNum&gt;1167&lt;/RecNum&gt;&lt;Prefix&gt;e.g. &lt;/Prefix&gt;&lt;DisplayText&gt;(e.g. Brzinsky-Fay &amp;amp; Kohler, 2010)&lt;/DisplayText&gt;&lt;record&gt;&lt;rec-number&gt;1167&lt;/rec-number&gt;&lt;foreign-keys&gt;&lt;key app="EN" db-id="wzre9as2u2ffe2e0tf2vtwr1wsd02s5x5zr0" timestamp="1504002021"&gt;1167&lt;/key&gt;&lt;/foreign-keys&gt;&lt;ref-type name="Journal Article"&gt;17&lt;/ref-type&gt;&lt;contributors&gt;&lt;authors&gt;&lt;author&gt;Brzinsky-Fay, Christian&lt;/author&gt;&lt;author&gt;Kohler, Ulrich&lt;/author&gt;&lt;/authors&gt;&lt;/contributors&gt;&lt;titles&gt;&lt;title&gt;New developments in sequence analysis&lt;/title&gt;&lt;secondary-title&gt;Sociological Methods &amp;amp; Research&lt;/secondary-title&gt;&lt;/titles&gt;&lt;periodical&gt;&lt;full-title&gt;Sociological Methods &amp;amp; Research&lt;/full-title&gt;&lt;/periodical&gt;&lt;pages&gt;359-364&lt;/pages&gt;&lt;volume&gt;38&lt;/volume&gt;&lt;number&gt;3&lt;/number&gt;&lt;dates&gt;&lt;year&gt;2010&lt;/year&gt;&lt;/dates&gt;&lt;isbn&gt;0049-1241, 1552-8294&lt;/isbn&gt;&lt;urls&gt;&lt;/urls&gt;&lt;language&gt;en&lt;/language&gt;&lt;/record&gt;&lt;/Cite&gt;&lt;/EndNote&gt;</w:instrText>
      </w:r>
      <w:r w:rsidR="00565192">
        <w:rPr>
          <w:lang w:val="en-GB"/>
        </w:rPr>
        <w:fldChar w:fldCharType="separate"/>
      </w:r>
      <w:r w:rsidR="00833DCA">
        <w:rPr>
          <w:noProof/>
          <w:lang w:val="en-GB"/>
        </w:rPr>
        <w:t>(e.g. Brzinsky-Fay &amp; Kohler, 2010)</w:t>
      </w:r>
      <w:r w:rsidR="00565192">
        <w:rPr>
          <w:lang w:val="en-GB"/>
        </w:rPr>
        <w:fldChar w:fldCharType="end"/>
      </w:r>
      <w:r w:rsidRPr="00955293">
        <w:rPr>
          <w:lang w:val="en-GB"/>
        </w:rPr>
        <w:t>. We performed the calculations with the SADI package for Stata</w:t>
      </w:r>
      <w:r w:rsidR="003D0E80">
        <w:rPr>
          <w:lang w:val="en-GB"/>
        </w:rPr>
        <w:t xml:space="preserve"> </w:t>
      </w:r>
      <w:r w:rsidR="003D0E80">
        <w:rPr>
          <w:lang w:val="en-GB"/>
        </w:rPr>
        <w:fldChar w:fldCharType="begin"/>
      </w:r>
      <w:r w:rsidR="00833DCA">
        <w:rPr>
          <w:lang w:val="en-GB"/>
        </w:rPr>
        <w:instrText xml:space="preserve"> ADDIN EN.CITE &lt;EndNote&gt;&lt;Cite&gt;&lt;Author&gt;Halpin&lt;/Author&gt;&lt;Year&gt;2017&lt;/Year&gt;&lt;RecNum&gt;1672&lt;/RecNum&gt;&lt;DisplayText&gt;(Halpin, 2017)&lt;/DisplayText&gt;&lt;record&gt;&lt;rec-number&gt;1672&lt;/rec-number&gt;&lt;foreign-keys&gt;&lt;key app="EN" db-id="wzre9as2u2ffe2e0tf2vtwr1wsd02s5x5zr0" timestamp="1546101962"&gt;1672&lt;/key&gt;&lt;/foreign-keys&gt;&lt;ref-type name="Journal Article"&gt;17&lt;/ref-type&gt;&lt;contributors&gt;&lt;authors&gt;&lt;author&gt;Halpin, Brendan&lt;/author&gt;&lt;/authors&gt;&lt;/contributors&gt;&lt;titles&gt;&lt;title&gt;SADI: Sequence analysis tools for Stata&lt;/title&gt;&lt;secondary-title&gt;Stata Journal&lt;/secondary-title&gt;&lt;/titles&gt;&lt;periodical&gt;&lt;full-title&gt;Stata Journal&lt;/full-title&gt;&lt;/periodical&gt;&lt;pages&gt;546-572&lt;/pages&gt;&lt;volume&gt;17&lt;/volume&gt;&lt;number&gt;3&lt;/number&gt;&lt;dates&gt;&lt;year&gt;2017&lt;/year&gt;&lt;/dates&gt;&lt;urls&gt;&lt;/urls&gt;&lt;/record&gt;&lt;/Cite&gt;&lt;/EndNote&gt;</w:instrText>
      </w:r>
      <w:r w:rsidR="003D0E80">
        <w:rPr>
          <w:lang w:val="en-GB"/>
        </w:rPr>
        <w:fldChar w:fldCharType="separate"/>
      </w:r>
      <w:r w:rsidR="00833DCA">
        <w:rPr>
          <w:noProof/>
          <w:lang w:val="en-GB"/>
        </w:rPr>
        <w:t>(Halpin, 2017)</w:t>
      </w:r>
      <w:r w:rsidR="003D0E80">
        <w:rPr>
          <w:lang w:val="en-GB"/>
        </w:rPr>
        <w:fldChar w:fldCharType="end"/>
      </w:r>
      <w:r w:rsidRPr="00955293">
        <w:rPr>
          <w:lang w:val="en-GB"/>
        </w:rPr>
        <w:t>.</w:t>
      </w:r>
    </w:p>
    <w:p w14:paraId="1261DFC8" w14:textId="0FB7266A" w:rsidR="004E1399" w:rsidRPr="00955293" w:rsidRDefault="004E1399" w:rsidP="006A5BD7">
      <w:pPr>
        <w:spacing w:after="240" w:line="240" w:lineRule="auto"/>
        <w:jc w:val="both"/>
        <w:rPr>
          <w:lang w:val="en-GB"/>
        </w:rPr>
      </w:pPr>
      <w:r w:rsidRPr="00955293">
        <w:rPr>
          <w:lang w:val="en-GB"/>
        </w:rPr>
        <w:t>To test our assumptions we conduct several regression models. First, we estimate linear regressions to test the primary effects of social origin on reading and mathematics/sciences skills. To take an intersectional approach, we insert an interaction term of parental ISEI and gender. Second, we applied a multinomial logit model to estimate the probability of pursuing a particular educational trajectory (including a model net of reading, mathematics/science skills). Third, we conduct again linear regressions to estimate the effect of social origin and gender on the persons own social status and their income at age 30. We estimate an additional model, controlling for the educational trajectory. Finally, we also estimated the effects of the educational trajectory on own status and salary. For all analyses, we use the appropriate survey weights taking into account the clustered sampling procedure and panel attrition</w:t>
      </w:r>
      <w:r w:rsidR="00434FCA">
        <w:rPr>
          <w:lang w:val="en-GB"/>
        </w:rPr>
        <w:t xml:space="preserve"> </w:t>
      </w:r>
      <w:r w:rsidR="00434FCA">
        <w:rPr>
          <w:lang w:val="en-GB"/>
        </w:rPr>
        <w:fldChar w:fldCharType="begin"/>
      </w:r>
      <w:r w:rsidR="00833DCA">
        <w:rPr>
          <w:lang w:val="en-GB"/>
        </w:rPr>
        <w:instrText xml:space="preserve"> ADDIN EN.CITE &lt;EndNote&gt;&lt;Cite&gt;&lt;Author&gt;Sacchi&lt;/Author&gt;&lt;Year&gt;2011&lt;/Year&gt;&lt;RecNum&gt;1695&lt;/RecNum&gt;&lt;Prefix&gt;see &lt;/Prefix&gt;&lt;DisplayText&gt;(see Sacchi, 2011)&lt;/DisplayText&gt;&lt;record&gt;&lt;rec-number&gt;1695&lt;/rec-number&gt;&lt;foreign-keys&gt;&lt;key app="EN" db-id="wzre9as2u2ffe2e0tf2vtwr1wsd02s5x5zr0" timestamp="1551099604"&gt;1695&lt;/key&gt;&lt;/foreign-keys&gt;&lt;ref-type name="Journal Article"&gt;17&lt;/ref-type&gt;&lt;contributors&gt;&lt;authors&gt;&lt;author&gt;Sacchi, Stefan&lt;/author&gt;&lt;/authors&gt;&lt;/contributors&gt;&lt;titles&gt;&lt;title&gt;Construction of TREE panel weights&lt;/title&gt;&lt;secondary-title&gt;Documentation for the panel waves from 2000 to 2010&lt;/secondary-title&gt;&lt;/titles&gt;&lt;periodical&gt;&lt;full-title&gt;Documentation for the panel waves from 2000 to 2010&lt;/full-title&gt;&lt;/periodical&gt;&lt;volume&gt;2011&lt;/volume&gt;&lt;dates&gt;&lt;year&gt;2011&lt;/year&gt;&lt;/dates&gt;&lt;urls&gt;&lt;/urls&gt;&lt;/record&gt;&lt;/Cite&gt;&lt;/EndNote&gt;</w:instrText>
      </w:r>
      <w:r w:rsidR="00434FCA">
        <w:rPr>
          <w:lang w:val="en-GB"/>
        </w:rPr>
        <w:fldChar w:fldCharType="separate"/>
      </w:r>
      <w:r w:rsidR="00833DCA">
        <w:rPr>
          <w:noProof/>
          <w:lang w:val="en-GB"/>
        </w:rPr>
        <w:t>(see Sacchi, 2011)</w:t>
      </w:r>
      <w:r w:rsidR="00434FCA">
        <w:rPr>
          <w:lang w:val="en-GB"/>
        </w:rPr>
        <w:fldChar w:fldCharType="end"/>
      </w:r>
      <w:r w:rsidRPr="00955293">
        <w:rPr>
          <w:lang w:val="en-GB"/>
        </w:rPr>
        <w:t>.</w:t>
      </w:r>
    </w:p>
    <w:p w14:paraId="4FD2BA39" w14:textId="77777777" w:rsidR="004E1399" w:rsidRPr="00955293" w:rsidRDefault="004E1399" w:rsidP="006A5BD7">
      <w:pPr>
        <w:spacing w:after="240" w:line="240" w:lineRule="auto"/>
        <w:jc w:val="both"/>
        <w:rPr>
          <w:b/>
          <w:lang w:val="en-GB"/>
        </w:rPr>
      </w:pPr>
      <w:r w:rsidRPr="00955293">
        <w:rPr>
          <w:b/>
          <w:lang w:val="en-GB"/>
        </w:rPr>
        <w:lastRenderedPageBreak/>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can be found for girls. In mathematics and science, we find a gender difference only for the pupils in the middle range of the parental ISEI, with boys outperforming girls.</w:t>
      </w:r>
    </w:p>
    <w:p w14:paraId="229F6064" w14:textId="59312882" w:rsidR="004E1399" w:rsidRPr="00955293" w:rsidRDefault="00987D85" w:rsidP="006A5BD7">
      <w:pPr>
        <w:spacing w:after="240" w:line="240" w:lineRule="auto"/>
        <w:jc w:val="both"/>
        <w:rPr>
          <w:lang w:val="en-GB"/>
        </w:rPr>
      </w:pPr>
      <w:bookmarkStart w:id="6" w:name="_Ref2080268"/>
      <w:r>
        <w:rPr>
          <w:b/>
          <w:noProof/>
          <w:lang w:val="de-CH" w:eastAsia="de-CH"/>
        </w:rPr>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1</w:t>
      </w:r>
      <w:r w:rsidR="004E1399" w:rsidRPr="00955293">
        <w:rPr>
          <w:b/>
          <w:lang w:val="en-GB"/>
        </w:rPr>
        <w:fldChar w:fldCharType="end"/>
      </w:r>
      <w:bookmarkEnd w:id="6"/>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lastRenderedPageBreak/>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5259502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DA61D3">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021AAEBA"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shows the distribution of men and women in those clusters. The first cluster contains mainly the trajectories of a vocational education on secondary level followed by employment or to a lesser extent, by subsequent vocational education on tertiary level. This is the most common educational pathway of this cohort, especially for men. The second cluster differs in the respect that the vocational education on secondary level is followed by tertiary education, mainly at a university of applied sciences. Men also more frequently follow this educational path than women do. The third cluster is the smallest one in terms of the number of 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education in the health care sector. The final two clusters contain the trajectories starting with high school, followed either by university of applied sciences or by university. While the latter is balanced by gender, in the former, that also contains universities of teacher education, women are overrepresented.</w:t>
      </w:r>
    </w:p>
    <w:p w14:paraId="625AD96C" w14:textId="462A302A" w:rsidR="004E1399" w:rsidRPr="00955293" w:rsidRDefault="0002494D" w:rsidP="006A5BD7">
      <w:pPr>
        <w:spacing w:after="240" w:line="240" w:lineRule="auto"/>
        <w:jc w:val="both"/>
        <w:rPr>
          <w:lang w:val="en-GB"/>
        </w:rPr>
      </w:pPr>
      <w:bookmarkStart w:id="7" w:name="_Ref2080610"/>
      <w:r>
        <w:rPr>
          <w:b/>
          <w:noProof/>
          <w:lang w:val="de-CH" w:eastAsia="de-CH"/>
        </w:rPr>
        <w:lastRenderedPageBreak/>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3</w:t>
      </w:r>
      <w:r w:rsidR="004E1399" w:rsidRPr="00955293">
        <w:rPr>
          <w:b/>
          <w:lang w:val="en-GB"/>
        </w:rPr>
        <w:fldChar w:fldCharType="end"/>
      </w:r>
      <w:bookmarkEnd w:id="7"/>
      <w:r w:rsidR="004E1399" w:rsidRPr="00955293">
        <w:rPr>
          <w:b/>
          <w:lang w:val="en-GB"/>
        </w:rPr>
        <w:t>:</w:t>
      </w:r>
      <w:r w:rsidR="004E1399" w:rsidRPr="00955293">
        <w:rPr>
          <w:lang w:val="en-GB"/>
        </w:rPr>
        <w:t xml:space="preserve"> Distribution of men and women in the educational clusters</w:t>
      </w:r>
    </w:p>
    <w:p w14:paraId="525401D1" w14:textId="46041154" w:rsidR="004E1399" w:rsidRPr="00955293" w:rsidRDefault="004E1399" w:rsidP="006A5BD7">
      <w:pPr>
        <w:spacing w:after="240" w:line="240" w:lineRule="auto"/>
        <w:jc w:val="both"/>
        <w:rPr>
          <w:lang w:val="en-GB"/>
        </w:rPr>
      </w:pPr>
      <w:r w:rsidRPr="00955293">
        <w:rPr>
          <w:lang w:val="en-GB"/>
        </w:rPr>
        <w:t xml:space="preserve">In the next step, we analyse whether social origin and gender have an effect on the probability of belonging to a certain educational cluster. The results are displayed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high school and enter university. We also find a moderate effect of social origin on the probability of belonging to the vocational &amp; tertiary and to the mixed academic cluster. Conversely, only the probability of belonging to the specialized secondary &amp; tertiary cluster is not affected by social origin. These effects are being mitigated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we find somewhat different trajectories for boys and girls, depending on the parental social status. While boys from lower to middle social 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72D3EEBA" w:rsidR="004E1399" w:rsidRPr="00955293" w:rsidRDefault="005D325E" w:rsidP="006A5BD7">
      <w:pPr>
        <w:spacing w:after="240" w:line="240" w:lineRule="auto"/>
        <w:jc w:val="both"/>
        <w:rPr>
          <w:lang w:val="en-GB"/>
        </w:rPr>
      </w:pPr>
      <w:bookmarkStart w:id="8" w:name="_Ref2080622"/>
      <w:r>
        <w:rPr>
          <w:b/>
          <w:noProof/>
          <w:lang w:val="de-CH" w:eastAsia="de-CH"/>
        </w:rPr>
        <w:lastRenderedPageBreak/>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4</w:t>
      </w:r>
      <w:r w:rsidR="004E1399" w:rsidRPr="00955293">
        <w:rPr>
          <w:b/>
          <w:lang w:val="en-GB"/>
        </w:rPr>
        <w:fldChar w:fldCharType="end"/>
      </w:r>
      <w:bookmarkEnd w:id="8"/>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505DB78C" w:rsidR="004E1399" w:rsidRPr="00955293" w:rsidRDefault="005D325E" w:rsidP="006A5BD7">
      <w:pPr>
        <w:spacing w:after="240" w:line="240" w:lineRule="auto"/>
        <w:jc w:val="both"/>
        <w:rPr>
          <w:lang w:val="en-GB"/>
        </w:rPr>
      </w:pPr>
      <w:bookmarkStart w:id="9"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5</w:t>
      </w:r>
      <w:r w:rsidR="004E1399" w:rsidRPr="00955293">
        <w:rPr>
          <w:b/>
          <w:lang w:val="en-GB"/>
        </w:rPr>
        <w:fldChar w:fldCharType="end"/>
      </w:r>
      <w:bookmarkEnd w:id="9"/>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is mitigated to a certain extent when we include the clusters of educational trajectories in the model, but remains significant (right graph </w:t>
      </w:r>
      <w:r w:rsidR="004727C5">
        <w:rPr>
          <w:lang w:val="en-GB"/>
        </w:rPr>
        <w:t>of Figure 6</w:t>
      </w:r>
      <w:r w:rsidRPr="00955293">
        <w:rPr>
          <w:lang w:val="en-GB"/>
        </w:rPr>
        <w:t>). In this model, in the top range of the parental ISEI the effect disappears and the curve becomes flat or even turns slightly downwards for women. However, it must be noted that the confidence intervals at the ends of the curve become quite large.</w:t>
      </w:r>
    </w:p>
    <w:p w14:paraId="37B6BB03" w14:textId="74858DDF" w:rsidR="004E1399" w:rsidRPr="00955293" w:rsidRDefault="005D325E" w:rsidP="006A5BD7">
      <w:pPr>
        <w:spacing w:after="240" w:line="240" w:lineRule="auto"/>
        <w:jc w:val="both"/>
        <w:rPr>
          <w:iCs/>
          <w:lang w:val="en-GB"/>
        </w:rPr>
      </w:pPr>
      <w:bookmarkStart w:id="10" w:name="_Ref2080650"/>
      <w:r>
        <w:rPr>
          <w:b/>
          <w:iCs/>
          <w:noProof/>
          <w:lang w:val="de-CH" w:eastAsia="de-CH"/>
        </w:rPr>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6</w:t>
      </w:r>
      <w:r w:rsidR="004E1399" w:rsidRPr="00955293">
        <w:rPr>
          <w:b/>
          <w:lang w:val="en-GB"/>
        </w:rPr>
        <w:fldChar w:fldCharType="end"/>
      </w:r>
      <w:bookmarkEnd w:id="10"/>
      <w:r w:rsidR="004E1399" w:rsidRPr="00955293">
        <w:rPr>
          <w:b/>
          <w:iCs/>
          <w:lang w:val="en-GB"/>
        </w:rPr>
        <w:t>:</w:t>
      </w:r>
      <w:r w:rsidR="004E1399" w:rsidRPr="00955293">
        <w:rPr>
          <w:iCs/>
          <w:lang w:val="en-GB"/>
        </w:rPr>
        <w:t xml:space="preserve"> Effects on social status (ISEI) in 2014 (age ~30)</w:t>
      </w:r>
    </w:p>
    <w:p w14:paraId="78312825" w14:textId="25CF09AA" w:rsidR="004E1399" w:rsidRPr="00955293" w:rsidRDefault="004E1399" w:rsidP="006A5BD7">
      <w:pPr>
        <w:spacing w:after="240" w:line="240" w:lineRule="auto"/>
        <w:jc w:val="both"/>
        <w:rPr>
          <w:lang w:val="en-GB"/>
        </w:rPr>
      </w:pPr>
      <w:r w:rsidRPr="00955293">
        <w:rPr>
          <w:lang w:val="en-GB"/>
        </w:rPr>
        <w:lastRenderedPageBreak/>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lang w:val="en-US"/>
        </w:rPr>
        <w:t>Table</w:t>
      </w:r>
      <w:r w:rsidR="00DA61D3" w:rsidRPr="00955293">
        <w:rPr>
          <w:b/>
        </w:rPr>
        <w:t xml:space="preserve"> </w:t>
      </w:r>
      <w:r w:rsidR="00DA61D3">
        <w:rPr>
          <w:b/>
          <w:noProof/>
        </w:rPr>
        <w:t>6</w:t>
      </w:r>
      <w:r w:rsidRPr="00955293">
        <w:rPr>
          <w:lang w:val="en-GB"/>
        </w:rPr>
        <w:fldChar w:fldCharType="end"/>
      </w:r>
      <w:r w:rsidRPr="00955293">
        <w:rPr>
          <w:lang w:val="en-GB"/>
        </w:rPr>
        <w:t xml:space="preserve"> in the appendix). On the right-hand side, the direct effect, controlling for educational trajectories is displayed. We </w:t>
      </w:r>
      <w:r w:rsidR="00840C01">
        <w:rPr>
          <w:lang w:val="en-GB"/>
        </w:rPr>
        <w:t>found</w:t>
      </w:r>
      <w:r w:rsidRPr="00955293">
        <w:rPr>
          <w:lang w:val="en-GB"/>
        </w:rPr>
        <w:t xml:space="preserve">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w:t>
      </w:r>
      <w:r w:rsidR="00B91658">
        <w:rPr>
          <w:lang w:val="en-GB"/>
        </w:rPr>
        <w:t xml:space="preserve"> parents having a</w:t>
      </w:r>
      <w:r w:rsidRPr="00955293">
        <w:rPr>
          <w:lang w:val="en-GB"/>
        </w:rPr>
        <w:t xml:space="preserve"> low socioeconomic status end up in low paid jobs, even when the educational trajectory is controlled for. It is an open question, if this direct effect of parental social status on own social status and on the salary would entirely disappear if the horizontal class and gender segregation would be modelled more in detail.</w:t>
      </w:r>
    </w:p>
    <w:p w14:paraId="10DE0D47" w14:textId="15718DED" w:rsidR="004E1399" w:rsidRPr="00955293" w:rsidRDefault="005D325E" w:rsidP="006A5BD7">
      <w:pPr>
        <w:spacing w:after="240" w:line="240" w:lineRule="auto"/>
        <w:jc w:val="both"/>
        <w:rPr>
          <w:iCs/>
          <w:lang w:val="en-GB"/>
        </w:rPr>
      </w:pPr>
      <w:bookmarkStart w:id="11"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7</w:t>
      </w:r>
      <w:r w:rsidR="004E1399" w:rsidRPr="00955293">
        <w:rPr>
          <w:b/>
          <w:lang w:val="en-GB"/>
        </w:rPr>
        <w:fldChar w:fldCharType="end"/>
      </w:r>
      <w:bookmarkEnd w:id="11"/>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6BA362F3" w:rsidR="004E1399" w:rsidRPr="00955293" w:rsidRDefault="004E1399" w:rsidP="006A5BD7">
      <w:pPr>
        <w:spacing w:after="240" w:line="240" w:lineRule="auto"/>
        <w:jc w:val="both"/>
        <w:rPr>
          <w:lang w:val="en-GB"/>
        </w:rPr>
      </w:pPr>
      <w:r w:rsidRPr="00955293">
        <w:rPr>
          <w:lang w:val="en-GB"/>
        </w:rPr>
        <w:t xml:space="preserve">Salary differences between different educational clusters </w:t>
      </w:r>
      <w:r w:rsidR="00B91658">
        <w:rPr>
          <w:lang w:val="en-GB"/>
        </w:rPr>
        <w:t>are</w:t>
      </w:r>
      <w:r w:rsidRPr="00955293">
        <w:rPr>
          <w:lang w:val="en-GB"/>
        </w:rPr>
        <w:t xml:space="preserve"> less </w:t>
      </w:r>
      <w:r w:rsidR="00B91658">
        <w:rPr>
          <w:lang w:val="en-GB"/>
        </w:rPr>
        <w:t>pronounced</w:t>
      </w:r>
      <w:r w:rsidRPr="00955293">
        <w:rPr>
          <w:lang w:val="en-GB"/>
        </w:rPr>
        <w:t xml:space="preserv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6E7BCB69" w:rsidR="004E1399" w:rsidRPr="00955293" w:rsidRDefault="005D325E" w:rsidP="006A5BD7">
      <w:pPr>
        <w:spacing w:after="240" w:line="240" w:lineRule="auto"/>
        <w:jc w:val="both"/>
        <w:rPr>
          <w:iCs/>
          <w:lang w:val="en-GB"/>
        </w:rPr>
      </w:pPr>
      <w:bookmarkStart w:id="12" w:name="_Ref528941496"/>
      <w:r>
        <w:rPr>
          <w:b/>
          <w:iCs/>
          <w:noProof/>
          <w:lang w:val="de-CH" w:eastAsia="de-CH"/>
        </w:rPr>
        <w:lastRenderedPageBreak/>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8</w:t>
      </w:r>
      <w:r w:rsidR="004E1399" w:rsidRPr="00955293">
        <w:rPr>
          <w:b/>
          <w:lang w:val="en-GB"/>
        </w:rPr>
        <w:fldChar w:fldCharType="end"/>
      </w:r>
      <w:bookmarkEnd w:id="12"/>
      <w:r w:rsidR="004E1399" w:rsidRPr="00955293">
        <w:rPr>
          <w:b/>
          <w:iCs/>
          <w:lang w:val="en-GB"/>
        </w:rPr>
        <w:t>:</w:t>
      </w:r>
      <w:r w:rsidR="004E1399" w:rsidRPr="00955293">
        <w:rPr>
          <w:iCs/>
          <w:lang w:val="en-GB"/>
        </w:rPr>
        <w:t xml:space="preserve"> Predicted Social Status (ISEI) by Educational Cluster</w:t>
      </w:r>
    </w:p>
    <w:p w14:paraId="51DAD972" w14:textId="3A04DA36" w:rsidR="004E1399" w:rsidRPr="00955293" w:rsidRDefault="005D325E" w:rsidP="006A5BD7">
      <w:pPr>
        <w:spacing w:after="240" w:line="240" w:lineRule="auto"/>
        <w:jc w:val="both"/>
        <w:rPr>
          <w:lang w:val="en-GB"/>
        </w:rPr>
      </w:pPr>
      <w:bookmarkStart w:id="13"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9</w:t>
      </w:r>
      <w:r w:rsidR="004E1399" w:rsidRPr="00955293">
        <w:rPr>
          <w:b/>
          <w:lang w:val="en-GB"/>
        </w:rPr>
        <w:fldChar w:fldCharType="end"/>
      </w:r>
      <w:bookmarkEnd w:id="13"/>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66DE19ED" w:rsidR="004E1399" w:rsidRPr="00955293" w:rsidRDefault="004E1399" w:rsidP="00781225">
      <w:pPr>
        <w:spacing w:before="240" w:after="240" w:line="240" w:lineRule="auto"/>
        <w:jc w:val="both"/>
        <w:rPr>
          <w:lang w:val="en-GB"/>
        </w:rPr>
      </w:pPr>
      <w:r w:rsidRPr="00955293">
        <w:rPr>
          <w:lang w:val="en-GB"/>
        </w:rPr>
        <w:t>To check the robustness of our results, we conducted some additional analyses. In particular, we sought to rule out two different sources of biases. First, while the cluster solutions found by the dynamic hamming procedure is plausible, it could be argued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take this into account,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rPr>
        <w:t>Table</w:t>
      </w:r>
      <w:r w:rsidR="00DA61D3" w:rsidRPr="00955293">
        <w:rPr>
          <w:b/>
          <w:lang w:val="en-GB"/>
        </w:rPr>
        <w:t xml:space="preserve"> </w:t>
      </w:r>
      <w:r w:rsidR="00DA61D3">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rPr>
        <w:t>Table</w:t>
      </w:r>
      <w:r w:rsidR="00DA61D3" w:rsidRPr="00955293">
        <w:rPr>
          <w:b/>
          <w:lang w:val="en-GB"/>
        </w:rPr>
        <w:t xml:space="preserve"> </w:t>
      </w:r>
      <w:r w:rsidR="00DA61D3">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9"/>
          <w:footerReference w:type="default" r:id="rId20"/>
          <w:headerReference w:type="first" r:id="rId21"/>
          <w:footerReference w:type="first" r:id="rId22"/>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5DCE2234" w:rsidR="004E1399" w:rsidRPr="00955293" w:rsidRDefault="004E1399" w:rsidP="006A5BD7">
      <w:pPr>
        <w:spacing w:after="240" w:line="240" w:lineRule="auto"/>
        <w:jc w:val="both"/>
        <w:rPr>
          <w:lang w:val="en-US"/>
        </w:rPr>
      </w:pPr>
      <w:bookmarkStart w:id="14"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1</w:t>
      </w:r>
      <w:r w:rsidRPr="00955293">
        <w:rPr>
          <w:b/>
        </w:rPr>
        <w:fldChar w:fldCharType="end"/>
      </w:r>
      <w:bookmarkEnd w:id="14"/>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r w:rsidRPr="00955293">
              <w:rPr>
                <w:b/>
                <w:lang w:val="en-US"/>
              </w:rPr>
              <w:t>St.Dev.</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r w:rsidRPr="00955293">
              <w:rPr>
                <w:b/>
                <w:lang w:val="en-US"/>
              </w:rPr>
              <w:t>St.Dev.</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39CDA0AB" w:rsidR="004E1399" w:rsidRPr="00955293" w:rsidRDefault="004E1399" w:rsidP="006A5BD7">
      <w:pPr>
        <w:spacing w:after="240" w:line="240" w:lineRule="auto"/>
        <w:jc w:val="both"/>
        <w:rPr>
          <w:b/>
        </w:rPr>
      </w:pPr>
      <w:bookmarkStart w:id="15"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2</w:t>
      </w:r>
      <w:r w:rsidRPr="00955293">
        <w:rPr>
          <w:b/>
        </w:rPr>
        <w:fldChar w:fldCharType="end"/>
      </w:r>
      <w:bookmarkEnd w:id="15"/>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p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05DCE878" w:rsidR="004E1399" w:rsidRPr="00955293" w:rsidRDefault="004E1399" w:rsidP="006A5BD7">
      <w:pPr>
        <w:spacing w:after="240" w:line="240" w:lineRule="auto"/>
        <w:jc w:val="both"/>
        <w:rPr>
          <w:lang w:val="en-GB"/>
        </w:rPr>
      </w:pPr>
      <w:bookmarkStart w:id="16"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3</w:t>
      </w:r>
      <w:r w:rsidRPr="00955293">
        <w:rPr>
          <w:b/>
        </w:rPr>
        <w:fldChar w:fldCharType="end"/>
      </w:r>
      <w:bookmarkEnd w:id="16"/>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p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1D3B0EBC" w:rsidR="004E1399" w:rsidRPr="00955293" w:rsidRDefault="004E1399" w:rsidP="006A5BD7">
      <w:pPr>
        <w:spacing w:after="240" w:line="240" w:lineRule="auto"/>
        <w:jc w:val="both"/>
        <w:rPr>
          <w:lang w:val="en-GB"/>
        </w:rPr>
      </w:pPr>
      <w:bookmarkStart w:id="17"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4</w:t>
      </w:r>
      <w:r w:rsidRPr="00955293">
        <w:rPr>
          <w:b/>
        </w:rPr>
        <w:fldChar w:fldCharType="end"/>
      </w:r>
      <w:bookmarkEnd w:id="17"/>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p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3D48B5C7" w:rsidR="004E1399" w:rsidRPr="00955293" w:rsidRDefault="004E1399" w:rsidP="006A5BD7">
      <w:pPr>
        <w:spacing w:after="240" w:line="240" w:lineRule="auto"/>
        <w:jc w:val="both"/>
      </w:pPr>
      <w:bookmarkStart w:id="18"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5</w:t>
      </w:r>
      <w:r w:rsidRPr="00955293">
        <w:rPr>
          <w:b/>
        </w:rPr>
        <w:fldChar w:fldCharType="end"/>
      </w:r>
      <w:bookmarkEnd w:id="18"/>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p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5ACB0797" w:rsidR="004E1399" w:rsidRPr="00955293" w:rsidRDefault="004E1399" w:rsidP="006A5BD7">
      <w:pPr>
        <w:spacing w:after="240" w:line="240" w:lineRule="auto"/>
        <w:jc w:val="both"/>
        <w:rPr>
          <w:lang w:val="en-GB"/>
        </w:rPr>
      </w:pPr>
      <w:bookmarkStart w:id="19"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6</w:t>
      </w:r>
      <w:r w:rsidRPr="00955293">
        <w:rPr>
          <w:b/>
        </w:rPr>
        <w:fldChar w:fldCharType="end"/>
      </w:r>
      <w:bookmarkEnd w:id="19"/>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p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6A5CDB62" w:rsidR="004E1399" w:rsidRPr="00955293" w:rsidRDefault="004E1399" w:rsidP="006A5BD7">
      <w:pPr>
        <w:spacing w:after="240" w:line="240" w:lineRule="auto"/>
        <w:jc w:val="both"/>
      </w:pPr>
      <w:bookmarkStart w:id="20"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7</w:t>
      </w:r>
      <w:r w:rsidRPr="00955293">
        <w:rPr>
          <w:b/>
        </w:rPr>
        <w:fldChar w:fldCharType="end"/>
      </w:r>
      <w:bookmarkEnd w:id="20"/>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p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78891484" w:rsidR="004E1399" w:rsidRPr="00955293" w:rsidRDefault="00376172" w:rsidP="006A5BD7">
      <w:pPr>
        <w:spacing w:after="240" w:line="240" w:lineRule="auto"/>
        <w:jc w:val="both"/>
        <w:rPr>
          <w:lang w:val="en-GB"/>
        </w:rPr>
      </w:pPr>
      <w:bookmarkStart w:id="21"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10</w:t>
      </w:r>
      <w:r w:rsidR="004E1399" w:rsidRPr="00955293">
        <w:rPr>
          <w:b/>
          <w:lang w:val="en-GB"/>
        </w:rPr>
        <w:fldChar w:fldCharType="end"/>
      </w:r>
      <w:bookmarkEnd w:id="21"/>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63D73BA4" w:rsidR="004E1399" w:rsidRPr="00955293" w:rsidRDefault="004E1399" w:rsidP="006A5BD7">
      <w:pPr>
        <w:spacing w:after="240" w:line="240" w:lineRule="auto"/>
        <w:jc w:val="both"/>
      </w:pPr>
      <w:bookmarkStart w:id="22"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DA61D3">
        <w:rPr>
          <w:b/>
          <w:noProof/>
          <w:lang w:val="en-GB"/>
        </w:rPr>
        <w:t>8</w:t>
      </w:r>
      <w:r w:rsidRPr="00955293">
        <w:rPr>
          <w:b/>
          <w:lang w:val="en-GB"/>
        </w:rPr>
        <w:fldChar w:fldCharType="end"/>
      </w:r>
      <w:bookmarkEnd w:id="22"/>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p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5C8A3D60" w14:textId="77777777" w:rsidR="00A24105" w:rsidRPr="00A24105" w:rsidRDefault="00A614AD" w:rsidP="00A24105">
      <w:pPr>
        <w:pStyle w:val="EndNoteBibliography"/>
        <w:spacing w:after="0"/>
        <w:ind w:left="720" w:hanging="720"/>
      </w:pPr>
      <w:r>
        <w:fldChar w:fldCharType="begin"/>
      </w:r>
      <w:r>
        <w:instrText xml:space="preserve"> ADDIN EN.REFLIST </w:instrText>
      </w:r>
      <w:r>
        <w:fldChar w:fldCharType="separate"/>
      </w:r>
      <w:r w:rsidR="00A24105" w:rsidRPr="00A24105">
        <w:t xml:space="preserve">Adams, R., &amp; Wu, M. (2003). </w:t>
      </w:r>
      <w:r w:rsidR="00A24105" w:rsidRPr="00A24105">
        <w:rPr>
          <w:i/>
        </w:rPr>
        <w:t>PISA Programme for international student assessment (PISA) PISA 2000 technical report</w:t>
      </w:r>
      <w:r w:rsidR="00A24105" w:rsidRPr="00A24105">
        <w:t>: oecd Publishing.</w:t>
      </w:r>
    </w:p>
    <w:p w14:paraId="3C3EC101" w14:textId="77777777" w:rsidR="00A24105" w:rsidRPr="0077567C" w:rsidRDefault="00A24105" w:rsidP="00A24105">
      <w:pPr>
        <w:pStyle w:val="EndNoteBibliography"/>
        <w:spacing w:after="0"/>
        <w:ind w:left="720" w:hanging="720"/>
        <w:rPr>
          <w:lang w:val="de-CH"/>
        </w:rPr>
      </w:pPr>
      <w:r w:rsidRPr="00A24105">
        <w:t xml:space="preserve">Allmendinger, J., Ebner, C., &amp; Nikolai, R. (2010). </w:t>
      </w:r>
      <w:r w:rsidRPr="0077567C">
        <w:rPr>
          <w:lang w:val="de-CH"/>
        </w:rPr>
        <w:t xml:space="preserve">Soziologische Bildungsforschung. In R. Tippelt &amp; B. Schmidt (Eds.), </w:t>
      </w:r>
      <w:r w:rsidRPr="0077567C">
        <w:rPr>
          <w:i/>
          <w:lang w:val="de-CH"/>
        </w:rPr>
        <w:t>Handbuch Bildungsforschung</w:t>
      </w:r>
      <w:r w:rsidRPr="0077567C">
        <w:rPr>
          <w:lang w:val="de-CH"/>
        </w:rPr>
        <w:t xml:space="preserve"> (3. ed., pp. 1058). Wiesbaden: VS Verlag für Sozialwissenschaften | Springer Fachmedien.</w:t>
      </w:r>
    </w:p>
    <w:p w14:paraId="02455FDA" w14:textId="77777777" w:rsidR="00A24105" w:rsidRPr="0077567C" w:rsidRDefault="00A24105" w:rsidP="00A24105">
      <w:pPr>
        <w:pStyle w:val="EndNoteBibliography"/>
        <w:spacing w:after="0"/>
        <w:ind w:left="720" w:hanging="720"/>
        <w:rPr>
          <w:lang w:val="de-CH"/>
        </w:rPr>
      </w:pPr>
      <w:r w:rsidRPr="0077567C">
        <w:rPr>
          <w:lang w:val="de-CH"/>
        </w:rPr>
        <w:t xml:space="preserve">Becker, R. (2007). „Das katholische Arbeitermädchen vom Lande“ – Ist die Bildungspolitik ein Opfer einer bildungssoziologischen Legende geworden? In C. Crotti, P. Gonon, &amp; W. Herzog (Eds.), </w:t>
      </w:r>
      <w:r w:rsidRPr="0077567C">
        <w:rPr>
          <w:i/>
          <w:lang w:val="de-CH"/>
        </w:rPr>
        <w:t>Pädagogik und Politik: historische und aktuelle Perspektiven: Festschrift für Fritz Osterwalder</w:t>
      </w:r>
      <w:r w:rsidRPr="0077567C">
        <w:rPr>
          <w:lang w:val="de-CH"/>
        </w:rPr>
        <w:t xml:space="preserve"> (pp. 386). Bern Stuttgart Wien: Haupt Verlag.</w:t>
      </w:r>
    </w:p>
    <w:p w14:paraId="34BC445A" w14:textId="77777777" w:rsidR="00A24105" w:rsidRPr="0077567C" w:rsidRDefault="00A24105" w:rsidP="00A24105">
      <w:pPr>
        <w:pStyle w:val="EndNoteBibliography"/>
        <w:spacing w:after="0"/>
        <w:ind w:left="720" w:hanging="720"/>
        <w:rPr>
          <w:lang w:val="de-CH"/>
        </w:rPr>
      </w:pPr>
      <w:r w:rsidRPr="0077567C">
        <w:rPr>
          <w:lang w:val="de-CH"/>
        </w:rPr>
        <w:t xml:space="preserve">Becker, R., Haunberger, S., &amp; Schubert, F. (2010). Studienfachwahl als Spezialfall der Ausbildungsentscheidung und Berufswahl. </w:t>
      </w:r>
      <w:r w:rsidRPr="0077567C">
        <w:rPr>
          <w:i/>
          <w:lang w:val="de-CH"/>
        </w:rPr>
        <w:t>Zeitschrift für Arbeitsmarktforschung, 42</w:t>
      </w:r>
      <w:r w:rsidRPr="0077567C">
        <w:rPr>
          <w:lang w:val="de-CH"/>
        </w:rPr>
        <w:t xml:space="preserve">(4), 292-310. </w:t>
      </w:r>
    </w:p>
    <w:p w14:paraId="3A696BD0" w14:textId="77777777" w:rsidR="00A24105" w:rsidRPr="0077567C" w:rsidRDefault="00A24105" w:rsidP="00A24105">
      <w:pPr>
        <w:pStyle w:val="EndNoteBibliography"/>
        <w:spacing w:after="0"/>
        <w:ind w:left="720" w:hanging="720"/>
        <w:rPr>
          <w:lang w:val="de-CH"/>
        </w:rPr>
      </w:pPr>
      <w:r w:rsidRPr="0077567C">
        <w:rPr>
          <w:lang w:val="de-CH"/>
        </w:rPr>
        <w:t xml:space="preserve">Becker, R., &amp; Lauterbach, W. (2010). </w:t>
      </w:r>
      <w:r w:rsidRPr="0077567C">
        <w:rPr>
          <w:i/>
          <w:lang w:val="de-CH"/>
        </w:rPr>
        <w:t>Bildung als Privileg: Erklärungen und Befunde zu den Ursachen der Bildungsungleichheit</w:t>
      </w:r>
      <w:r w:rsidRPr="0077567C">
        <w:rPr>
          <w:lang w:val="de-CH"/>
        </w:rPr>
        <w:t xml:space="preserve"> (4. ed.). Wiesbaden: VS Verlag für Sozialwissenschaften.</w:t>
      </w:r>
    </w:p>
    <w:p w14:paraId="76574777" w14:textId="77777777" w:rsidR="00A24105" w:rsidRPr="0077567C" w:rsidRDefault="00A24105" w:rsidP="00A24105">
      <w:pPr>
        <w:pStyle w:val="EndNoteBibliography"/>
        <w:spacing w:after="0"/>
        <w:ind w:left="720" w:hanging="720"/>
        <w:rPr>
          <w:lang w:val="de-CH"/>
        </w:rPr>
      </w:pPr>
      <w:r w:rsidRPr="0077567C">
        <w:rPr>
          <w:lang w:val="de-CH"/>
        </w:rPr>
        <w:t xml:space="preserve">Becker, R., &amp; Müller, W. (2011). Bildungsungleichheiten nach Geschlecht und Herkunft im Wandel. In A. Hadjar (Ed.), </w:t>
      </w:r>
      <w:r w:rsidRPr="0077567C">
        <w:rPr>
          <w:i/>
          <w:lang w:val="de-CH"/>
        </w:rPr>
        <w:t>Geschlechtsspezifische Bildungsungleichheiten</w:t>
      </w:r>
      <w:r w:rsidRPr="0077567C">
        <w:rPr>
          <w:lang w:val="de-CH"/>
        </w:rPr>
        <w:t xml:space="preserve"> (pp. 253). Wiesbaden: VS Verlag für Sozialwissenschaften.</w:t>
      </w:r>
    </w:p>
    <w:p w14:paraId="5D42243D" w14:textId="77777777" w:rsidR="00A24105" w:rsidRPr="00A24105" w:rsidRDefault="00A24105" w:rsidP="00A24105">
      <w:pPr>
        <w:pStyle w:val="EndNoteBibliography"/>
        <w:spacing w:after="0"/>
        <w:ind w:left="720" w:hanging="720"/>
      </w:pPr>
      <w:r w:rsidRPr="0077567C">
        <w:rPr>
          <w:lang w:val="de-CH"/>
        </w:rPr>
        <w:t xml:space="preserve">Blau, F. D., &amp; Kahn, L. M. (2017). </w:t>
      </w:r>
      <w:r w:rsidRPr="00A24105">
        <w:t xml:space="preserve">The gender Wage Gap: Extent, Trends, and Explanations. </w:t>
      </w:r>
      <w:r w:rsidRPr="00A24105">
        <w:rPr>
          <w:i/>
        </w:rPr>
        <w:t>Journal of Economic Literature, 55</w:t>
      </w:r>
      <w:r w:rsidRPr="00A24105">
        <w:t xml:space="preserve">(3), 789-865. </w:t>
      </w:r>
    </w:p>
    <w:p w14:paraId="18910D1D" w14:textId="77777777" w:rsidR="00A24105" w:rsidRPr="0077567C" w:rsidRDefault="00A24105" w:rsidP="00A24105">
      <w:pPr>
        <w:pStyle w:val="EndNoteBibliography"/>
        <w:spacing w:after="0"/>
        <w:ind w:left="720" w:hanging="720"/>
        <w:rPr>
          <w:lang w:val="de-CH"/>
        </w:rPr>
      </w:pPr>
      <w:r w:rsidRPr="00A24105">
        <w:t xml:space="preserve">Boudon, R. (1974). </w:t>
      </w:r>
      <w:r w:rsidRPr="00A24105">
        <w:rPr>
          <w:i/>
        </w:rPr>
        <w:t>Education, opportunity and social inequality: changing prospects in western society</w:t>
      </w:r>
      <w:r w:rsidRPr="00A24105">
        <w:t xml:space="preserve">. </w:t>
      </w:r>
      <w:r w:rsidRPr="0077567C">
        <w:rPr>
          <w:lang w:val="de-CH"/>
        </w:rPr>
        <w:t>New York: John Wiley &amp; Sons Inc.</w:t>
      </w:r>
    </w:p>
    <w:p w14:paraId="0DC1BBE6" w14:textId="77777777" w:rsidR="00A24105" w:rsidRPr="00A24105" w:rsidRDefault="00A24105" w:rsidP="00A24105">
      <w:pPr>
        <w:pStyle w:val="EndNoteBibliography"/>
        <w:spacing w:after="0"/>
        <w:ind w:left="720" w:hanging="720"/>
      </w:pPr>
      <w:r w:rsidRPr="0077567C">
        <w:rPr>
          <w:lang w:val="de-CH"/>
        </w:rPr>
        <w:t xml:space="preserve">Bourdieu, P., &amp; Passeron, J.-C. (1971). </w:t>
      </w:r>
      <w:r w:rsidRPr="0077567C">
        <w:rPr>
          <w:i/>
          <w:lang w:val="de-CH"/>
        </w:rPr>
        <w:t>Die Illusion der Chancengleichheit: Untersuchungen zur Soziologie des Bildungswesens am Beispiel Frankreichs</w:t>
      </w:r>
      <w:r w:rsidRPr="0077567C">
        <w:rPr>
          <w:lang w:val="de-CH"/>
        </w:rPr>
        <w:t xml:space="preserve">. </w:t>
      </w:r>
      <w:r w:rsidRPr="00A24105">
        <w:t>Stuttgart: Klett.</w:t>
      </w:r>
    </w:p>
    <w:p w14:paraId="26719CF3" w14:textId="77777777" w:rsidR="00A24105" w:rsidRPr="00A24105" w:rsidRDefault="00A24105" w:rsidP="00A24105">
      <w:pPr>
        <w:pStyle w:val="EndNoteBibliography"/>
        <w:spacing w:after="0"/>
        <w:ind w:left="720" w:hanging="720"/>
      </w:pPr>
      <w:r w:rsidRPr="00A24105">
        <w:t xml:space="preserve">Breen, R., &amp; Goldthorpe, J. H. (1997). Explaining educational differentials towards a formal rational action theory. </w:t>
      </w:r>
      <w:r w:rsidRPr="00A24105">
        <w:rPr>
          <w:i/>
        </w:rPr>
        <w:t>Rationality and society, 9</w:t>
      </w:r>
      <w:r w:rsidRPr="00A24105">
        <w:t xml:space="preserve">(3), 275-305. </w:t>
      </w:r>
    </w:p>
    <w:p w14:paraId="50FB5C59" w14:textId="77777777" w:rsidR="00A24105" w:rsidRPr="00A24105" w:rsidRDefault="00A24105" w:rsidP="00A24105">
      <w:pPr>
        <w:pStyle w:val="EndNoteBibliography"/>
        <w:spacing w:after="0"/>
        <w:ind w:left="720" w:hanging="720"/>
      </w:pPr>
      <w:r w:rsidRPr="00A24105">
        <w:t xml:space="preserve">Breen, R., Luijkx, R., Müller, W., &amp; Pollak, R. (2009). Long-term trends in educational inequality in Europe: Class inequalities and gender differences. </w:t>
      </w:r>
      <w:r w:rsidRPr="00A24105">
        <w:rPr>
          <w:i/>
        </w:rPr>
        <w:t>European Sociological Review, 26</w:t>
      </w:r>
      <w:r w:rsidRPr="00A24105">
        <w:t xml:space="preserve">(1), 31-48. </w:t>
      </w:r>
    </w:p>
    <w:p w14:paraId="22C7781E" w14:textId="77777777" w:rsidR="00A24105" w:rsidRPr="00A24105" w:rsidRDefault="00A24105" w:rsidP="00A24105">
      <w:pPr>
        <w:pStyle w:val="EndNoteBibliography"/>
        <w:spacing w:after="0"/>
        <w:ind w:left="720" w:hanging="720"/>
      </w:pPr>
      <w:r w:rsidRPr="00A24105">
        <w:t xml:space="preserve">Brzinsky-Fay, C., &amp; Kohler, U. (2010). New developments in sequence analysis. </w:t>
      </w:r>
      <w:r w:rsidRPr="00A24105">
        <w:rPr>
          <w:i/>
        </w:rPr>
        <w:t>Sociological Methods &amp; Research, 38</w:t>
      </w:r>
      <w:r w:rsidRPr="00A24105">
        <w:t xml:space="preserve">(3), 359-364. </w:t>
      </w:r>
    </w:p>
    <w:p w14:paraId="1FEB869C" w14:textId="77777777" w:rsidR="00A24105" w:rsidRPr="0077567C" w:rsidRDefault="00A24105" w:rsidP="00A24105">
      <w:pPr>
        <w:pStyle w:val="EndNoteBibliography"/>
        <w:spacing w:after="0"/>
        <w:ind w:left="720" w:hanging="720"/>
        <w:rPr>
          <w:lang w:val="de-CH"/>
        </w:rPr>
      </w:pPr>
      <w:r w:rsidRPr="00A24105">
        <w:t xml:space="preserve">Buchmann, C., &amp; DiPrete, T. A. (2006). The growing female advantage in college completion: the role of family background and academic achievement. </w:t>
      </w:r>
      <w:r w:rsidRPr="0077567C">
        <w:rPr>
          <w:i/>
          <w:lang w:val="de-CH"/>
        </w:rPr>
        <w:t>American Sociological Review, 71</w:t>
      </w:r>
      <w:r w:rsidRPr="0077567C">
        <w:rPr>
          <w:lang w:val="de-CH"/>
        </w:rPr>
        <w:t xml:space="preserve">(4), 515-541. </w:t>
      </w:r>
    </w:p>
    <w:p w14:paraId="377EBB7A" w14:textId="77777777" w:rsidR="00A24105" w:rsidRPr="00A24105" w:rsidRDefault="00A24105" w:rsidP="00A24105">
      <w:pPr>
        <w:pStyle w:val="EndNoteBibliography"/>
        <w:spacing w:after="0"/>
        <w:ind w:left="720" w:hanging="720"/>
      </w:pPr>
      <w:r w:rsidRPr="0077567C">
        <w:rPr>
          <w:lang w:val="de-CH"/>
        </w:rPr>
        <w:t xml:space="preserve">Buchmann, M., &amp; Kriesi, I. (2012). Geschlechtstypische Berufswahl: Begabungszuschreibungen, Aspirationen und Institutionen. </w:t>
      </w:r>
      <w:r w:rsidRPr="00A24105">
        <w:t xml:space="preserve">In </w:t>
      </w:r>
      <w:r w:rsidRPr="00A24105">
        <w:rPr>
          <w:i/>
        </w:rPr>
        <w:t>Soziologische Bildungsforschung</w:t>
      </w:r>
      <w:r w:rsidRPr="00A24105">
        <w:t xml:space="preserve"> (pp. 256-280): Springer.</w:t>
      </w:r>
    </w:p>
    <w:p w14:paraId="3B828921" w14:textId="77777777" w:rsidR="00A24105" w:rsidRPr="00A24105" w:rsidRDefault="00A24105" w:rsidP="00A24105">
      <w:pPr>
        <w:pStyle w:val="EndNoteBibliography"/>
        <w:spacing w:after="0"/>
        <w:ind w:left="720" w:hanging="720"/>
      </w:pPr>
      <w:r w:rsidRPr="00A24105">
        <w:lastRenderedPageBreak/>
        <w:t xml:space="preserve">Charles, M. (2011). A world of difference: international trends in women’s economic status. </w:t>
      </w:r>
      <w:r w:rsidRPr="00A24105">
        <w:rPr>
          <w:i/>
        </w:rPr>
        <w:t>Annual Review of Sociology, 37</w:t>
      </w:r>
      <w:r w:rsidRPr="00A24105">
        <w:t xml:space="preserve">, 355-371. </w:t>
      </w:r>
    </w:p>
    <w:p w14:paraId="6BC0A34D" w14:textId="77777777" w:rsidR="00A24105" w:rsidRPr="00A24105" w:rsidRDefault="00A24105" w:rsidP="00A24105">
      <w:pPr>
        <w:pStyle w:val="EndNoteBibliography"/>
        <w:spacing w:after="0"/>
        <w:ind w:left="720" w:hanging="720"/>
      </w:pPr>
      <w:r w:rsidRPr="00A24105">
        <w:t xml:space="preserve">Charles, M., &amp; Bradley, K. (2009). Indulging our gendered selves? Sex segregation by field of study in 44 countries. </w:t>
      </w:r>
      <w:r w:rsidRPr="00A24105">
        <w:rPr>
          <w:i/>
        </w:rPr>
        <w:t>American Journal of Sociology, 114</w:t>
      </w:r>
      <w:r w:rsidRPr="00A24105">
        <w:t xml:space="preserve">(4), 924-976. </w:t>
      </w:r>
    </w:p>
    <w:p w14:paraId="0589BEB0" w14:textId="77777777" w:rsidR="00A24105" w:rsidRPr="00A24105" w:rsidRDefault="00A24105" w:rsidP="00A24105">
      <w:pPr>
        <w:pStyle w:val="EndNoteBibliography"/>
        <w:spacing w:after="0"/>
        <w:ind w:left="720" w:hanging="720"/>
      </w:pPr>
      <w:r w:rsidRPr="0077567C">
        <w:rPr>
          <w:lang w:val="de-CH"/>
        </w:rPr>
        <w:t xml:space="preserve">Dahrendorf, R. (1965). </w:t>
      </w:r>
      <w:r w:rsidRPr="0077567C">
        <w:rPr>
          <w:i/>
          <w:lang w:val="de-CH"/>
        </w:rPr>
        <w:t>Bildung ist Bürgerrecht: Plädoyer für eine aktive Bildungspolitik</w:t>
      </w:r>
      <w:r w:rsidRPr="0077567C">
        <w:rPr>
          <w:lang w:val="de-CH"/>
        </w:rPr>
        <w:t xml:space="preserve">. </w:t>
      </w:r>
      <w:r w:rsidRPr="00A24105">
        <w:t>Hamburg: Rohwolt.</w:t>
      </w:r>
    </w:p>
    <w:p w14:paraId="33FA0575" w14:textId="77777777" w:rsidR="00A24105" w:rsidRPr="00A24105" w:rsidRDefault="00A24105" w:rsidP="00A24105">
      <w:pPr>
        <w:pStyle w:val="EndNoteBibliography"/>
        <w:spacing w:after="0"/>
        <w:ind w:left="720" w:hanging="720"/>
      </w:pPr>
      <w:r w:rsidRPr="00A24105">
        <w:t xml:space="preserve">DiPrete, T. A., &amp; Buchmann, C. (2013). </w:t>
      </w:r>
      <w:r w:rsidRPr="00A24105">
        <w:rPr>
          <w:i/>
        </w:rPr>
        <w:t>The Rise of Women: The Growing Gender Gap in Education and what it Means for American Schools</w:t>
      </w:r>
      <w:r w:rsidRPr="00A24105">
        <w:t>: Russell Sage Foundation.</w:t>
      </w:r>
    </w:p>
    <w:p w14:paraId="0486CBB7" w14:textId="77777777" w:rsidR="00A24105" w:rsidRPr="00A24105" w:rsidRDefault="00A24105" w:rsidP="00A24105">
      <w:pPr>
        <w:pStyle w:val="EndNoteBibliography"/>
        <w:spacing w:after="0"/>
        <w:ind w:left="720" w:hanging="720"/>
      </w:pPr>
      <w:r w:rsidRPr="00A24105">
        <w:t xml:space="preserve">Eagly, A. H., &amp; Diekman, A. B. (2006). What is the Problem? Prejudice as an Attitude-in-Context. In J. F. Dovidio, P. Glick, &amp; L. A. Rudman (Eds.), </w:t>
      </w:r>
      <w:r w:rsidRPr="00A24105">
        <w:rPr>
          <w:i/>
        </w:rPr>
        <w:t>On the Nature of Prejudice: Fifty Years after Allport</w:t>
      </w:r>
      <w:r w:rsidRPr="00A24105">
        <w:t xml:space="preserve"> (pp. 19-35). Malden, Oxford, Carlton: Blackwell Publishing.</w:t>
      </w:r>
    </w:p>
    <w:p w14:paraId="7227A4CA" w14:textId="77777777" w:rsidR="00A24105" w:rsidRPr="00A24105" w:rsidRDefault="00A24105" w:rsidP="00A24105">
      <w:pPr>
        <w:pStyle w:val="EndNoteBibliography"/>
        <w:spacing w:after="0"/>
        <w:ind w:left="720" w:hanging="720"/>
      </w:pPr>
      <w:r w:rsidRPr="00A24105">
        <w:t xml:space="preserve">Eagly, A. H., &amp; Karau, S. J. (2002). Role Congruity Theory of Prejudice Toward Female Leaders. </w:t>
      </w:r>
      <w:r w:rsidRPr="00A24105">
        <w:rPr>
          <w:i/>
        </w:rPr>
        <w:t>Psychological review, 109</w:t>
      </w:r>
      <w:r w:rsidRPr="00A24105">
        <w:t xml:space="preserve">(3), 573. </w:t>
      </w:r>
    </w:p>
    <w:p w14:paraId="53DA4C79" w14:textId="77777777" w:rsidR="00A24105" w:rsidRPr="00A24105" w:rsidRDefault="00A24105" w:rsidP="00A24105">
      <w:pPr>
        <w:pStyle w:val="EndNoteBibliography"/>
        <w:spacing w:after="0"/>
        <w:ind w:left="720" w:hanging="720"/>
      </w:pPr>
      <w:r w:rsidRPr="00A24105">
        <w:t xml:space="preserve">Eagly, A. H., &amp; Sczesny, S. (2008). Stereotypes about women, men and leaders: Have time changed? In M. K. Barreto, M. K. Ryan, &amp; M. T. Schmitt (Eds.), </w:t>
      </w:r>
      <w:r w:rsidRPr="00A24105">
        <w:rPr>
          <w:i/>
        </w:rPr>
        <w:t>The glass ceiling in the 21st century: Understanding barriers to gender equality</w:t>
      </w:r>
      <w:r w:rsidRPr="00A24105">
        <w:t xml:space="preserve"> (pp. 21‐47). Washington: American Psychological Association.</w:t>
      </w:r>
    </w:p>
    <w:p w14:paraId="41BA8F98" w14:textId="77777777" w:rsidR="00A24105" w:rsidRPr="00A24105" w:rsidRDefault="00A24105" w:rsidP="00A24105">
      <w:pPr>
        <w:pStyle w:val="EndNoteBibliography"/>
        <w:spacing w:after="0"/>
        <w:ind w:left="720" w:hanging="720"/>
      </w:pPr>
      <w:r w:rsidRPr="00A24105">
        <w:t xml:space="preserve">England, P. (2010). The gender revolution uneven and stalled. </w:t>
      </w:r>
      <w:r w:rsidRPr="00A24105">
        <w:rPr>
          <w:i/>
        </w:rPr>
        <w:t>Gender &amp; Society, 24</w:t>
      </w:r>
      <w:r w:rsidRPr="00A24105">
        <w:t xml:space="preserve">(2), 149-166. </w:t>
      </w:r>
    </w:p>
    <w:p w14:paraId="76A9F246" w14:textId="77777777" w:rsidR="00A24105" w:rsidRPr="00A24105" w:rsidRDefault="00A24105" w:rsidP="00A24105">
      <w:pPr>
        <w:pStyle w:val="EndNoteBibliography"/>
        <w:spacing w:after="0"/>
        <w:ind w:left="720" w:hanging="720"/>
      </w:pPr>
      <w:r w:rsidRPr="00A24105">
        <w:t xml:space="preserve">Entwisle, D. R., Alexander, K. L., &amp; Olson, L. S. (2007). Early schooling: the handicap of being poor and male. </w:t>
      </w:r>
      <w:r w:rsidRPr="00A24105">
        <w:rPr>
          <w:i/>
        </w:rPr>
        <w:t>Sociology of Education, 80</w:t>
      </w:r>
      <w:r w:rsidRPr="00A24105">
        <w:t xml:space="preserve">(2), 114-138. </w:t>
      </w:r>
    </w:p>
    <w:p w14:paraId="1D3E0717" w14:textId="77777777" w:rsidR="00A24105" w:rsidRPr="00A24105" w:rsidRDefault="00A24105" w:rsidP="00A24105">
      <w:pPr>
        <w:pStyle w:val="EndNoteBibliography"/>
        <w:spacing w:after="0"/>
        <w:ind w:left="720" w:hanging="720"/>
      </w:pPr>
      <w:r w:rsidRPr="00A24105">
        <w:t xml:space="preserve">Erikson, R., &amp; Jonsson, J. O. (1996). </w:t>
      </w:r>
      <w:r w:rsidRPr="00A24105">
        <w:rPr>
          <w:i/>
        </w:rPr>
        <w:t>Can education be equalized? The Swedish case in comparative perspective</w:t>
      </w:r>
      <w:r w:rsidRPr="00A24105">
        <w:t>: Westview Press.</w:t>
      </w:r>
    </w:p>
    <w:p w14:paraId="5BDA2785" w14:textId="77777777" w:rsidR="00A24105" w:rsidRPr="00A24105" w:rsidRDefault="00A24105" w:rsidP="00A24105">
      <w:pPr>
        <w:pStyle w:val="EndNoteBibliography"/>
        <w:spacing w:after="0"/>
        <w:ind w:left="720" w:hanging="720"/>
      </w:pPr>
      <w:r w:rsidRPr="00A24105">
        <w:t xml:space="preserve">Geißler, R. (2005). </w:t>
      </w:r>
      <w:r w:rsidRPr="0077567C">
        <w:rPr>
          <w:lang w:val="de-CH"/>
        </w:rPr>
        <w:t xml:space="preserve">Die Metamorphose der Arbeitertochter zum Migrantensohn. Zum Wandel der Chancenstruktur im Bildungssystem nach Schicht, Geschlecht, Ethnie und deren Verknüpfungen. In P. A. Berger (Ed.), </w:t>
      </w:r>
      <w:r w:rsidRPr="0077567C">
        <w:rPr>
          <w:i/>
          <w:lang w:val="de-CH"/>
        </w:rPr>
        <w:t>Institutionalisierte Ungleichheiten: wie das Bildungswesen Chancen blockiert</w:t>
      </w:r>
      <w:r w:rsidRPr="0077567C">
        <w:rPr>
          <w:lang w:val="de-CH"/>
        </w:rPr>
        <w:t xml:space="preserve"> (pp. 256). </w:t>
      </w:r>
      <w:r w:rsidRPr="00A24105">
        <w:t>Weinheim und München: Juventa.</w:t>
      </w:r>
    </w:p>
    <w:p w14:paraId="69DBCD27" w14:textId="77777777" w:rsidR="00A24105" w:rsidRPr="0077567C" w:rsidRDefault="00A24105" w:rsidP="00A24105">
      <w:pPr>
        <w:pStyle w:val="EndNoteBibliography"/>
        <w:spacing w:after="0"/>
        <w:ind w:left="720" w:hanging="720"/>
        <w:rPr>
          <w:lang w:val="de-CH"/>
        </w:rPr>
      </w:pPr>
      <w:r w:rsidRPr="00A24105">
        <w:t xml:space="preserve">Glaesser, J., &amp; Cooper, B. (2012). Gender, parental education, and ability: their interacting roles in predicting GCSE success. </w:t>
      </w:r>
      <w:r w:rsidRPr="0077567C">
        <w:rPr>
          <w:i/>
          <w:lang w:val="de-CH"/>
        </w:rPr>
        <w:t>Cambridge Journal of Education, 42</w:t>
      </w:r>
      <w:r w:rsidRPr="0077567C">
        <w:rPr>
          <w:lang w:val="de-CH"/>
        </w:rPr>
        <w:t xml:space="preserve">(4), 463-480. </w:t>
      </w:r>
    </w:p>
    <w:p w14:paraId="067A5BB4" w14:textId="77777777" w:rsidR="00A24105" w:rsidRPr="0077567C" w:rsidRDefault="00A24105" w:rsidP="00A24105">
      <w:pPr>
        <w:pStyle w:val="EndNoteBibliography"/>
        <w:spacing w:after="0"/>
        <w:ind w:left="720" w:hanging="720"/>
        <w:rPr>
          <w:lang w:val="de-CH"/>
        </w:rPr>
      </w:pPr>
      <w:r w:rsidRPr="0077567C">
        <w:rPr>
          <w:lang w:val="de-CH"/>
        </w:rPr>
        <w:t xml:space="preserve">Glauser, D. (2015). </w:t>
      </w:r>
      <w:r w:rsidRPr="0077567C">
        <w:rPr>
          <w:i/>
          <w:lang w:val="de-CH"/>
        </w:rPr>
        <w:t>Berufsausbildung oder Allgemeinbildung: soziale Ungleichheiten beim Übergang in die Sekundarstufe II in der Schweiz</w:t>
      </w:r>
      <w:r w:rsidRPr="0077567C">
        <w:rPr>
          <w:lang w:val="de-CH"/>
        </w:rPr>
        <w:t>.</w:t>
      </w:r>
    </w:p>
    <w:p w14:paraId="2CF85E78" w14:textId="77777777" w:rsidR="00A24105" w:rsidRPr="0077567C" w:rsidRDefault="00A24105" w:rsidP="00A24105">
      <w:pPr>
        <w:pStyle w:val="EndNoteBibliography"/>
        <w:spacing w:after="0"/>
        <w:ind w:left="720" w:hanging="720"/>
        <w:rPr>
          <w:lang w:val="de-CH"/>
        </w:rPr>
      </w:pPr>
      <w:r w:rsidRPr="0077567C">
        <w:rPr>
          <w:lang w:val="de-CH"/>
        </w:rPr>
        <w:t xml:space="preserve">Gomensoro, A., Meyer, T., Hupka-Brunner, S., Jann, B., Müller, B., Oesch, D., . . . </w:t>
      </w:r>
      <w:r w:rsidRPr="00A24105">
        <w:t xml:space="preserve">Scharenberg, K. (2017). </w:t>
      </w:r>
      <w:r w:rsidRPr="00A24105">
        <w:rPr>
          <w:i/>
        </w:rPr>
        <w:t>Employment Situation at Age Thirty. Results Update of the Swiss Panel Survey TREE</w:t>
      </w:r>
      <w:r w:rsidRPr="00A24105">
        <w:t xml:space="preserve">. </w:t>
      </w:r>
      <w:r w:rsidRPr="0077567C">
        <w:rPr>
          <w:lang w:val="de-CH"/>
        </w:rPr>
        <w:t xml:space="preserve">Retrieved from </w:t>
      </w:r>
    </w:p>
    <w:p w14:paraId="306C9780" w14:textId="77777777" w:rsidR="00A24105" w:rsidRPr="0077567C" w:rsidRDefault="00A24105" w:rsidP="00A24105">
      <w:pPr>
        <w:pStyle w:val="EndNoteBibliography"/>
        <w:spacing w:after="0"/>
        <w:ind w:left="720" w:hanging="720"/>
        <w:rPr>
          <w:lang w:val="de-CH"/>
        </w:rPr>
      </w:pPr>
      <w:r w:rsidRPr="0077567C">
        <w:rPr>
          <w:lang w:val="de-CH"/>
        </w:rPr>
        <w:t xml:space="preserve">Gottburgsen, A., &amp; Gross, C. (2012). Welchen Beitrag leistet „Intersektionalität“ zur Klärung von Kompetenzunterschieden bei Jugendlichen? In R. Becker &amp; H. Solga (Eds.), </w:t>
      </w:r>
      <w:r w:rsidRPr="0077567C">
        <w:rPr>
          <w:i/>
          <w:lang w:val="de-CH"/>
        </w:rPr>
        <w:t>Soziologische Bildungsforschung</w:t>
      </w:r>
      <w:r w:rsidRPr="0077567C">
        <w:rPr>
          <w:lang w:val="de-CH"/>
        </w:rPr>
        <w:t xml:space="preserve"> (pp. 503).</w:t>
      </w:r>
    </w:p>
    <w:p w14:paraId="4C83E58A" w14:textId="77777777" w:rsidR="00A24105" w:rsidRPr="00A24105" w:rsidRDefault="00A24105" w:rsidP="00A24105">
      <w:pPr>
        <w:pStyle w:val="EndNoteBibliography"/>
        <w:spacing w:after="0"/>
        <w:ind w:left="720" w:hanging="720"/>
      </w:pPr>
      <w:r w:rsidRPr="0077567C">
        <w:rPr>
          <w:lang w:val="de-CH"/>
        </w:rPr>
        <w:t xml:space="preserve">Halpin, B. (2010). </w:t>
      </w:r>
      <w:r w:rsidRPr="00A24105">
        <w:t xml:space="preserve">Optimal matching analysis and life-course data: the importance of duration. </w:t>
      </w:r>
      <w:r w:rsidRPr="00A24105">
        <w:rPr>
          <w:i/>
        </w:rPr>
        <w:t>Sociological Methods &amp; Research, 38</w:t>
      </w:r>
      <w:r w:rsidRPr="00A24105">
        <w:t xml:space="preserve">(3), 365-388. </w:t>
      </w:r>
    </w:p>
    <w:p w14:paraId="423D3545" w14:textId="77777777" w:rsidR="00A24105" w:rsidRPr="00A24105" w:rsidRDefault="00A24105" w:rsidP="00A24105">
      <w:pPr>
        <w:pStyle w:val="EndNoteBibliography"/>
        <w:spacing w:after="0"/>
        <w:ind w:left="720" w:hanging="720"/>
      </w:pPr>
      <w:r w:rsidRPr="00A24105">
        <w:t xml:space="preserve">Halpin, B. (2017). SADI: Sequence analysis tools for Stata. </w:t>
      </w:r>
      <w:r w:rsidRPr="00A24105">
        <w:rPr>
          <w:i/>
        </w:rPr>
        <w:t>Stata Journal, 17</w:t>
      </w:r>
      <w:r w:rsidRPr="00A24105">
        <w:t xml:space="preserve">(3), 546-572. </w:t>
      </w:r>
    </w:p>
    <w:p w14:paraId="3FA6AF0A" w14:textId="77777777" w:rsidR="00A24105" w:rsidRPr="0077567C" w:rsidRDefault="00A24105" w:rsidP="00A24105">
      <w:pPr>
        <w:pStyle w:val="EndNoteBibliography"/>
        <w:spacing w:after="0"/>
        <w:ind w:left="720" w:hanging="720"/>
        <w:rPr>
          <w:lang w:val="de-CH"/>
        </w:rPr>
      </w:pPr>
      <w:r w:rsidRPr="00A24105">
        <w:t xml:space="preserve">Imdorf, C., &amp; Hupka-Brunner, S. (2015). Gender differences at labor market entry in Switzerland. In H.-P. Blossfeld, J. Skopek, M. Triventi, &amp; S. Buchholz (Eds.), </w:t>
      </w:r>
      <w:r w:rsidRPr="00A24105">
        <w:rPr>
          <w:i/>
        </w:rPr>
        <w:t>Gender, education and employment: an international comparison of school-to-work transitions</w:t>
      </w:r>
      <w:r w:rsidRPr="00A24105">
        <w:t xml:space="preserve"> (pp. 267–286). </w:t>
      </w:r>
      <w:r w:rsidRPr="0077567C">
        <w:rPr>
          <w:lang w:val="de-CH"/>
        </w:rPr>
        <w:t>Cheltenham and Northampton: Edward Elgar Publishing.</w:t>
      </w:r>
    </w:p>
    <w:p w14:paraId="134EA56E" w14:textId="77777777" w:rsidR="00A24105" w:rsidRPr="00A24105" w:rsidRDefault="00A24105" w:rsidP="00A24105">
      <w:pPr>
        <w:pStyle w:val="EndNoteBibliography"/>
        <w:spacing w:after="0"/>
        <w:ind w:left="720" w:hanging="720"/>
      </w:pPr>
      <w:r w:rsidRPr="0077567C">
        <w:rPr>
          <w:lang w:val="de-CH"/>
        </w:rPr>
        <w:t xml:space="preserve">Imdorf, C., Koomen, M., Murdoch, J., &amp; Guégnard, C. (2017). </w:t>
      </w:r>
      <w:r w:rsidRPr="00A24105">
        <w:t xml:space="preserve">Do vocational pathways improve higher education access for women and men from less privileged social backgrounds? A comparison of vocational tracks to higher education in France and Switzerland. </w:t>
      </w:r>
      <w:r w:rsidRPr="00A24105">
        <w:rPr>
          <w:i/>
        </w:rPr>
        <w:t>Rassegna italiana di Sociologia, 58</w:t>
      </w:r>
      <w:r w:rsidRPr="00A24105">
        <w:t xml:space="preserve">(2), 283-314. </w:t>
      </w:r>
    </w:p>
    <w:p w14:paraId="20DFD0B8" w14:textId="77777777" w:rsidR="00A24105" w:rsidRPr="00A24105" w:rsidRDefault="00A24105" w:rsidP="00A24105">
      <w:pPr>
        <w:pStyle w:val="EndNoteBibliography"/>
        <w:spacing w:after="0"/>
        <w:ind w:left="720" w:hanging="720"/>
      </w:pPr>
      <w:r w:rsidRPr="00A24105">
        <w:t xml:space="preserve">Imdorf, C., Sacchi, S., Wohlgemuth, K., Cortesi, S., &amp; Schoch, A. (2014). How cantonal education systems in Switzerland promote gender-typical school-to-work transitions. </w:t>
      </w:r>
      <w:r w:rsidRPr="00A24105">
        <w:rPr>
          <w:i/>
        </w:rPr>
        <w:t>Swiss Journal of Sociology, 40</w:t>
      </w:r>
      <w:r w:rsidRPr="00A24105">
        <w:t xml:space="preserve">(2), 175-196. </w:t>
      </w:r>
    </w:p>
    <w:p w14:paraId="4487BEF4" w14:textId="77777777" w:rsidR="00A24105" w:rsidRPr="00A24105" w:rsidRDefault="00A24105" w:rsidP="00A24105">
      <w:pPr>
        <w:pStyle w:val="EndNoteBibliography"/>
        <w:spacing w:after="0"/>
        <w:ind w:left="720" w:hanging="720"/>
      </w:pPr>
      <w:r w:rsidRPr="00A24105">
        <w:t xml:space="preserve">Lesnard, L. (2006). </w:t>
      </w:r>
      <w:r w:rsidRPr="00A24105">
        <w:rPr>
          <w:i/>
        </w:rPr>
        <w:t>Optimal matching and social sciences</w:t>
      </w:r>
      <w:r w:rsidRPr="00A24105">
        <w:t xml:space="preserve">. Retrieved from </w:t>
      </w:r>
    </w:p>
    <w:p w14:paraId="17DFE4EC" w14:textId="77777777" w:rsidR="00A24105" w:rsidRPr="00A24105" w:rsidRDefault="00A24105" w:rsidP="00A24105">
      <w:pPr>
        <w:pStyle w:val="EndNoteBibliography"/>
        <w:spacing w:after="0"/>
        <w:ind w:left="720" w:hanging="720"/>
      </w:pPr>
      <w:r w:rsidRPr="00A24105">
        <w:t xml:space="preserve">Lesnard, L. (2010). Setting cost in optimal matching to uncover contemporaneous socio-temporal patterns. </w:t>
      </w:r>
      <w:r w:rsidRPr="00A24105">
        <w:rPr>
          <w:i/>
        </w:rPr>
        <w:t>Sociological Methods &amp; Research, 38</w:t>
      </w:r>
      <w:r w:rsidRPr="00A24105">
        <w:t>(3), 389-419. doi:10.1177/0049124110362526</w:t>
      </w:r>
    </w:p>
    <w:p w14:paraId="71B0DC71" w14:textId="77777777" w:rsidR="00A24105" w:rsidRPr="0077567C" w:rsidRDefault="00A24105" w:rsidP="00A24105">
      <w:pPr>
        <w:pStyle w:val="EndNoteBibliography"/>
        <w:spacing w:after="0"/>
        <w:ind w:left="720" w:hanging="720"/>
        <w:rPr>
          <w:lang w:val="de-CH"/>
        </w:rPr>
      </w:pPr>
      <w:r w:rsidRPr="00A24105">
        <w:lastRenderedPageBreak/>
        <w:t xml:space="preserve">Mood, C. (2017). More than money: social class, income, and the intergenerational persistence of advantage. </w:t>
      </w:r>
      <w:r w:rsidRPr="0077567C">
        <w:rPr>
          <w:i/>
          <w:lang w:val="de-CH"/>
        </w:rPr>
        <w:t>Sociological Science, 4</w:t>
      </w:r>
      <w:r w:rsidRPr="0077567C">
        <w:rPr>
          <w:lang w:val="de-CH"/>
        </w:rPr>
        <w:t xml:space="preserve">, 263-287. </w:t>
      </w:r>
    </w:p>
    <w:p w14:paraId="564ED598" w14:textId="77777777" w:rsidR="00A24105" w:rsidRPr="0077567C" w:rsidRDefault="00A24105" w:rsidP="00A24105">
      <w:pPr>
        <w:pStyle w:val="EndNoteBibliography"/>
        <w:spacing w:after="0"/>
        <w:ind w:left="720" w:hanging="720"/>
        <w:rPr>
          <w:lang w:val="de-CH"/>
        </w:rPr>
      </w:pPr>
      <w:r w:rsidRPr="0077567C">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77567C">
        <w:rPr>
          <w:i/>
          <w:lang w:val="de-CH"/>
        </w:rPr>
        <w:t>Zeitschrift für Pädagogik, 53</w:t>
      </w:r>
      <w:r w:rsidRPr="0077567C">
        <w:rPr>
          <w:lang w:val="de-CH"/>
        </w:rPr>
        <w:t xml:space="preserve">(4), 491-508. </w:t>
      </w:r>
    </w:p>
    <w:p w14:paraId="21D09959" w14:textId="77777777" w:rsidR="00A24105" w:rsidRPr="00A24105" w:rsidRDefault="00A24105" w:rsidP="00A24105">
      <w:pPr>
        <w:pStyle w:val="EndNoteBibliography"/>
        <w:spacing w:after="0"/>
        <w:ind w:left="720" w:hanging="720"/>
      </w:pPr>
      <w:r w:rsidRPr="0077567C">
        <w:rPr>
          <w:lang w:val="de-CH"/>
        </w:rPr>
        <w:t xml:space="preserve">Peisert, H. (1967). </w:t>
      </w:r>
      <w:r w:rsidRPr="0077567C">
        <w:rPr>
          <w:i/>
          <w:lang w:val="de-CH"/>
        </w:rPr>
        <w:t>Soziale Lage und Bildungschancen in Deutschland</w:t>
      </w:r>
      <w:r w:rsidRPr="0077567C">
        <w:rPr>
          <w:lang w:val="de-CH"/>
        </w:rPr>
        <w:t xml:space="preserve">. </w:t>
      </w:r>
      <w:r w:rsidRPr="00A24105">
        <w:t>München: Piper.</w:t>
      </w:r>
    </w:p>
    <w:p w14:paraId="67E27B5A" w14:textId="77777777" w:rsidR="00A24105" w:rsidRPr="0077567C" w:rsidRDefault="00A24105" w:rsidP="00A24105">
      <w:pPr>
        <w:pStyle w:val="EndNoteBibliography"/>
        <w:spacing w:after="0"/>
        <w:ind w:left="720" w:hanging="720"/>
        <w:rPr>
          <w:lang w:val="de-CH"/>
        </w:rPr>
      </w:pPr>
      <w:r w:rsidRPr="00A24105">
        <w:t>Reimer, D., &amp; Pollak, R. (2005).</w:t>
      </w:r>
      <w:r w:rsidRPr="00A24105">
        <w:rPr>
          <w:i/>
        </w:rPr>
        <w:t xml:space="preserve"> The impact of social origin on the transition to tertiary education in West Germany 1983 and 1999</w:t>
      </w:r>
      <w:r w:rsidRPr="00A24105">
        <w:t xml:space="preserve">. </w:t>
      </w:r>
      <w:r w:rsidRPr="0077567C">
        <w:rPr>
          <w:lang w:val="de-CH"/>
        </w:rPr>
        <w:t>Arbeitspapiere - Mannheimer Zentrum für Europäische Sozialforschung. Universität Mannheim.</w:t>
      </w:r>
    </w:p>
    <w:p w14:paraId="189FAC2C" w14:textId="77777777" w:rsidR="00A24105" w:rsidRPr="00A24105" w:rsidRDefault="00A24105" w:rsidP="00A24105">
      <w:pPr>
        <w:pStyle w:val="EndNoteBibliography"/>
        <w:spacing w:after="0"/>
        <w:ind w:left="720" w:hanging="720"/>
      </w:pPr>
      <w:r w:rsidRPr="0077567C">
        <w:rPr>
          <w:lang w:val="de-CH"/>
        </w:rPr>
        <w:t xml:space="preserve">Rivera, L. A., &amp; Tilcsik, A. (2016). </w:t>
      </w:r>
      <w:r w:rsidRPr="00A24105">
        <w:t xml:space="preserve">Class advantage, commitment penalty: the gendered effect of social class signals in an elite labor market. </w:t>
      </w:r>
      <w:r w:rsidRPr="00A24105">
        <w:rPr>
          <w:i/>
        </w:rPr>
        <w:t>American Sociological Review, 81</w:t>
      </w:r>
      <w:r w:rsidRPr="00A24105">
        <w:t xml:space="preserve">(6), 1097-1131. </w:t>
      </w:r>
    </w:p>
    <w:p w14:paraId="436FDB68" w14:textId="77777777" w:rsidR="00A24105" w:rsidRPr="00A24105" w:rsidRDefault="00A24105" w:rsidP="00A24105">
      <w:pPr>
        <w:pStyle w:val="EndNoteBibliography"/>
        <w:spacing w:after="0"/>
        <w:ind w:left="720" w:hanging="720"/>
      </w:pPr>
      <w:r w:rsidRPr="00A24105">
        <w:t xml:space="preserve">Sacchi, S. (2011). Construction of TREE panel weights. </w:t>
      </w:r>
      <w:r w:rsidRPr="00A24105">
        <w:rPr>
          <w:i/>
        </w:rPr>
        <w:t>Documentation for the panel waves from 2000 to 2010, 2011</w:t>
      </w:r>
      <w:r w:rsidRPr="00A24105">
        <w:t xml:space="preserve">. </w:t>
      </w:r>
    </w:p>
    <w:p w14:paraId="7C40160A" w14:textId="77777777" w:rsidR="00A24105" w:rsidRPr="00A24105" w:rsidRDefault="00A24105" w:rsidP="00A24105">
      <w:pPr>
        <w:pStyle w:val="EndNoteBibliography"/>
        <w:spacing w:after="0"/>
        <w:ind w:left="720" w:hanging="720"/>
      </w:pPr>
      <w:r w:rsidRPr="0077567C">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A24105">
        <w:rPr>
          <w:i/>
        </w:rPr>
        <w:t>Schweizerische Zeitschrift für Soziologie, 40</w:t>
      </w:r>
      <w:r w:rsidRPr="00A24105">
        <w:t xml:space="preserve">(3), 401-428. </w:t>
      </w:r>
    </w:p>
    <w:p w14:paraId="14F7435F" w14:textId="77777777" w:rsidR="00A24105" w:rsidRPr="00A24105" w:rsidRDefault="00A24105" w:rsidP="00A24105">
      <w:pPr>
        <w:pStyle w:val="EndNoteBibliography"/>
        <w:spacing w:after="0"/>
        <w:ind w:left="720" w:hanging="720"/>
      </w:pPr>
      <w:r w:rsidRPr="00A24105">
        <w:t xml:space="preserve">Strand, S. (2014). Ethnicity, gender, social class and achievement gaps at age 16: Intersectionality and ‘Getting it’for the white working class. </w:t>
      </w:r>
      <w:r w:rsidRPr="00A24105">
        <w:rPr>
          <w:i/>
        </w:rPr>
        <w:t>Research Papers in Education, 29</w:t>
      </w:r>
      <w:r w:rsidRPr="00A24105">
        <w:t xml:space="preserve">(2), 131-171. </w:t>
      </w:r>
    </w:p>
    <w:p w14:paraId="7360A5F5" w14:textId="77777777" w:rsidR="00A24105" w:rsidRPr="00A24105" w:rsidRDefault="00A24105" w:rsidP="00A24105">
      <w:pPr>
        <w:pStyle w:val="EndNoteBibliography"/>
        <w:spacing w:after="0"/>
        <w:ind w:left="720" w:hanging="720"/>
      </w:pPr>
      <w:r w:rsidRPr="00A24105">
        <w:t xml:space="preserve">van de Werfhorst, H. G. (2002). A detailed examination of the role of education in intergenerational social-class mobility. </w:t>
      </w:r>
      <w:r w:rsidRPr="00A24105">
        <w:rPr>
          <w:i/>
        </w:rPr>
        <w:t>Social Science Information, 41</w:t>
      </w:r>
      <w:r w:rsidRPr="00A24105">
        <w:t xml:space="preserve">(3), 407-438. </w:t>
      </w:r>
    </w:p>
    <w:p w14:paraId="6C45503B" w14:textId="77777777" w:rsidR="00A24105" w:rsidRPr="00A24105" w:rsidRDefault="00A24105" w:rsidP="00A24105">
      <w:pPr>
        <w:pStyle w:val="EndNoteBibliography"/>
        <w:ind w:left="720" w:hanging="720"/>
      </w:pPr>
      <w:r w:rsidRPr="00A24105">
        <w:t xml:space="preserve">Warm, T. A. (1989). Weighted likelihood estimation of ability in item response theory. </w:t>
      </w:r>
      <w:r w:rsidRPr="00A24105">
        <w:rPr>
          <w:i/>
        </w:rPr>
        <w:t>Psychometrika, 54</w:t>
      </w:r>
      <w:r w:rsidRPr="00A24105">
        <w:t xml:space="preserve">(3), 427-450. </w:t>
      </w:r>
    </w:p>
    <w:p w14:paraId="14933723" w14:textId="036EF5FF" w:rsidR="00CC425F" w:rsidRPr="00955293" w:rsidRDefault="00A614AD" w:rsidP="006A5BD7">
      <w:pPr>
        <w:spacing w:after="240" w:line="240" w:lineRule="auto"/>
        <w:jc w:val="both"/>
      </w:pPr>
      <w:r>
        <w:fldChar w:fldCharType="end"/>
      </w:r>
    </w:p>
    <w:sectPr w:rsidR="00CC425F" w:rsidRPr="00955293" w:rsidSect="006A5BD7">
      <w:headerReference w:type="default" r:id="rId24"/>
      <w:footerReference w:type="default" r:id="rId25"/>
      <w:headerReference w:type="first" r:id="rId26"/>
      <w:footerReference w:type="first" r:id="rId27"/>
      <w:pgSz w:w="11906" w:h="16838"/>
      <w:pgMar w:top="1440" w:right="1080" w:bottom="1440" w:left="1080" w:header="708" w:footer="708" w:gutter="0"/>
      <w:lnNumType w:countBy="1" w:restart="newSectio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immermann, Barbara Andrea (SOZ)" w:date="2019-05-21T17:20:00Z" w:initials="ZBA(">
    <w:p w14:paraId="76E726C3" w14:textId="7E82FFF1" w:rsidR="00224627" w:rsidRDefault="00224627">
      <w:pPr>
        <w:pStyle w:val="Kommentartext"/>
      </w:pPr>
      <w:r>
        <w:rPr>
          <w:rStyle w:val="Kommentarzeichen"/>
        </w:rPr>
        <w:annotationRef/>
      </w:r>
      <w:r>
        <w:t>Diese angepassten Bezeichnungen nun überall noch ändern…</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E726C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F364A" w14:textId="77777777" w:rsidR="00733EAB" w:rsidRDefault="00733EAB">
      <w:pPr>
        <w:spacing w:after="0" w:line="240" w:lineRule="auto"/>
      </w:pPr>
      <w:r>
        <w:separator/>
      </w:r>
    </w:p>
  </w:endnote>
  <w:endnote w:type="continuationSeparator" w:id="0">
    <w:p w14:paraId="39C8443F" w14:textId="77777777" w:rsidR="00733EAB" w:rsidRDefault="0073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58255CD3" w:rsidR="0077567C" w:rsidRPr="00B26D46" w:rsidRDefault="0077567C"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224627">
      <w:rPr>
        <w:noProof/>
        <w:sz w:val="18"/>
        <w:lang w:val="en-US"/>
      </w:rPr>
      <w:t>4</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77567C" w:rsidRPr="009946EC" w:rsidRDefault="0077567C"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6669013B" w:rsidR="0077567C" w:rsidRPr="00B26D46" w:rsidRDefault="0077567C"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224627">
      <w:rPr>
        <w:noProof/>
        <w:sz w:val="18"/>
        <w:lang w:val="en-US"/>
      </w:rPr>
      <w:t>21</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77567C" w:rsidRPr="009946EC" w:rsidRDefault="0077567C"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03DF1" w14:textId="77777777" w:rsidR="00733EAB" w:rsidRDefault="00733EAB">
      <w:pPr>
        <w:spacing w:after="0" w:line="240" w:lineRule="auto"/>
      </w:pPr>
      <w:r>
        <w:separator/>
      </w:r>
    </w:p>
  </w:footnote>
  <w:footnote w:type="continuationSeparator" w:id="0">
    <w:p w14:paraId="55471E39" w14:textId="77777777" w:rsidR="00733EAB" w:rsidRDefault="00733EAB">
      <w:pPr>
        <w:spacing w:after="0" w:line="240" w:lineRule="auto"/>
      </w:pPr>
      <w:r>
        <w:continuationSeparator/>
      </w:r>
    </w:p>
  </w:footnote>
  <w:footnote w:id="1">
    <w:p w14:paraId="71306287" w14:textId="5E949464" w:rsidR="00224627" w:rsidRPr="00224627" w:rsidRDefault="00224627" w:rsidP="00224627">
      <w:pPr>
        <w:pStyle w:val="Funotentext"/>
        <w:rPr>
          <w:lang w:val="en-GB"/>
        </w:rPr>
      </w:pPr>
      <w:r>
        <w:rPr>
          <w:rStyle w:val="Funotenzeichen"/>
        </w:rPr>
        <w:footnoteRef/>
      </w:r>
      <w:r>
        <w:t xml:space="preserve"> </w:t>
      </w:r>
      <w:r w:rsidRPr="00224627">
        <w:rPr>
          <w:lang w:val="en-GB"/>
        </w:rPr>
        <w:t>For younger c</w:t>
      </w:r>
      <w:r>
        <w:rPr>
          <w:lang w:val="en-GB"/>
        </w:rPr>
        <w:t>ohorts this is less so the case.</w:t>
      </w:r>
      <w:r w:rsidRPr="00224627">
        <w:rPr>
          <w:lang w:val="en-GB"/>
        </w:rPr>
        <w:t xml:space="preserve"> </w:t>
      </w:r>
      <w:r>
        <w:rPr>
          <w:lang w:val="en-GB"/>
        </w:rPr>
        <w:t xml:space="preserve">In 2002, the </w:t>
      </w:r>
      <w:r w:rsidRPr="00224627">
        <w:rPr>
          <w:lang w:val="en-GB"/>
        </w:rPr>
        <w:t>healthcare assistant apprenticeship</w:t>
      </w:r>
      <w:r w:rsidRPr="00224627">
        <w:rPr>
          <w:lang w:val="en-GB"/>
        </w:rPr>
        <w:t xml:space="preserve"> has been created and it is now an important route to nursing.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77567C" w:rsidRDefault="0077567C"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77567C" w:rsidRDefault="0077567C"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77567C" w:rsidRDefault="0077567C"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77567C" w:rsidRDefault="0077567C"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7"/>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mmermann, Barbara Andrea (SOZ)">
    <w15:presenceInfo w15:providerId="None" w15:userId="Zimmermann, Barbara Andrea (S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532&lt;/item&gt;&lt;item&gt;723&lt;/item&gt;&lt;item&gt;740&lt;/item&gt;&lt;item&gt;755&lt;/item&gt;&lt;item&gt;855&lt;/item&gt;&lt;item&gt;887&lt;/item&gt;&lt;item&gt;900&lt;/item&gt;&lt;item&gt;1096&lt;/item&gt;&lt;item&gt;1106&lt;/item&gt;&lt;item&gt;1146&lt;/item&gt;&lt;item&gt;1156&lt;/item&gt;&lt;item&gt;1164&lt;/item&gt;&lt;item&gt;1167&lt;/item&gt;&lt;item&gt;1187&lt;/item&gt;&lt;item&gt;1206&lt;/item&gt;&lt;item&gt;1560&lt;/item&gt;&lt;item&gt;1563&lt;/item&gt;&lt;item&gt;1564&lt;/item&gt;&lt;item&gt;1575&lt;/item&gt;&lt;item&gt;1609&lt;/item&gt;&lt;item&gt;1628&lt;/item&gt;&lt;item&gt;1629&lt;/item&gt;&lt;item&gt;1640&lt;/item&gt;&lt;item&gt;1642&lt;/item&gt;&lt;item&gt;1643&lt;/item&gt;&lt;item&gt;1644&lt;/item&gt;&lt;item&gt;1646&lt;/item&gt;&lt;item&gt;1647&lt;/item&gt;&lt;item&gt;1648&lt;/item&gt;&lt;item&gt;1651&lt;/item&gt;&lt;item&gt;1654&lt;/item&gt;&lt;item&gt;1655&lt;/item&gt;&lt;item&gt;1658&lt;/item&gt;&lt;item&gt;1659&lt;/item&gt;&lt;item&gt;1660&lt;/item&gt;&lt;item&gt;1662&lt;/item&gt;&lt;item&gt;1663&lt;/item&gt;&lt;item&gt;1664&lt;/item&gt;&lt;item&gt;1666&lt;/item&gt;&lt;item&gt;1667&lt;/item&gt;&lt;item&gt;1668&lt;/item&gt;&lt;item&gt;1672&lt;/item&gt;&lt;item&gt;1673&lt;/item&gt;&lt;item&gt;1674&lt;/item&gt;&lt;item&gt;1675&lt;/item&gt;&lt;item&gt;1695&lt;/item&gt;&lt;/record-ids&gt;&lt;/item&gt;&lt;/Libraries&gt;"/>
  </w:docVars>
  <w:rsids>
    <w:rsidRoot w:val="004E1399"/>
    <w:rsid w:val="00004FCF"/>
    <w:rsid w:val="0002443B"/>
    <w:rsid w:val="0002494D"/>
    <w:rsid w:val="00084ACB"/>
    <w:rsid w:val="000A27A3"/>
    <w:rsid w:val="000A3F50"/>
    <w:rsid w:val="000B44F6"/>
    <w:rsid w:val="000E50C7"/>
    <w:rsid w:val="00115800"/>
    <w:rsid w:val="001447B0"/>
    <w:rsid w:val="00152CB4"/>
    <w:rsid w:val="001630B6"/>
    <w:rsid w:val="001A1BB7"/>
    <w:rsid w:val="001E46F6"/>
    <w:rsid w:val="00224627"/>
    <w:rsid w:val="002756BB"/>
    <w:rsid w:val="00334A8E"/>
    <w:rsid w:val="003364C9"/>
    <w:rsid w:val="00350173"/>
    <w:rsid w:val="00376172"/>
    <w:rsid w:val="003B051E"/>
    <w:rsid w:val="003B08E7"/>
    <w:rsid w:val="003C3584"/>
    <w:rsid w:val="003D0E80"/>
    <w:rsid w:val="003E04F9"/>
    <w:rsid w:val="00434FCA"/>
    <w:rsid w:val="004727C5"/>
    <w:rsid w:val="004E1399"/>
    <w:rsid w:val="00565192"/>
    <w:rsid w:val="005D325E"/>
    <w:rsid w:val="005D4AAA"/>
    <w:rsid w:val="00653F8F"/>
    <w:rsid w:val="006553DA"/>
    <w:rsid w:val="00682E27"/>
    <w:rsid w:val="006A5BD7"/>
    <w:rsid w:val="006F21F0"/>
    <w:rsid w:val="007323D5"/>
    <w:rsid w:val="00733EAB"/>
    <w:rsid w:val="00764CC8"/>
    <w:rsid w:val="0077567C"/>
    <w:rsid w:val="00781225"/>
    <w:rsid w:val="00781730"/>
    <w:rsid w:val="00785DFA"/>
    <w:rsid w:val="007D609D"/>
    <w:rsid w:val="00816D25"/>
    <w:rsid w:val="0081750E"/>
    <w:rsid w:val="00833DCA"/>
    <w:rsid w:val="00840C01"/>
    <w:rsid w:val="00894AE6"/>
    <w:rsid w:val="008954BA"/>
    <w:rsid w:val="008B6D79"/>
    <w:rsid w:val="008E73FA"/>
    <w:rsid w:val="00947247"/>
    <w:rsid w:val="00955293"/>
    <w:rsid w:val="009734A7"/>
    <w:rsid w:val="00987729"/>
    <w:rsid w:val="00987D85"/>
    <w:rsid w:val="009D42F9"/>
    <w:rsid w:val="009E7012"/>
    <w:rsid w:val="00A20A0F"/>
    <w:rsid w:val="00A24105"/>
    <w:rsid w:val="00A614AD"/>
    <w:rsid w:val="00A91432"/>
    <w:rsid w:val="00B41B83"/>
    <w:rsid w:val="00B91658"/>
    <w:rsid w:val="00B95315"/>
    <w:rsid w:val="00BB3277"/>
    <w:rsid w:val="00BB3D41"/>
    <w:rsid w:val="00BC0B42"/>
    <w:rsid w:val="00BE1BF0"/>
    <w:rsid w:val="00C12E78"/>
    <w:rsid w:val="00C15CF8"/>
    <w:rsid w:val="00C37F28"/>
    <w:rsid w:val="00CB4237"/>
    <w:rsid w:val="00CC425F"/>
    <w:rsid w:val="00DA061E"/>
    <w:rsid w:val="00DA61D3"/>
    <w:rsid w:val="00DC0363"/>
    <w:rsid w:val="00DD0088"/>
    <w:rsid w:val="00E02755"/>
    <w:rsid w:val="00E2121E"/>
    <w:rsid w:val="00E21FCA"/>
    <w:rsid w:val="00EA720A"/>
    <w:rsid w:val="00F13F73"/>
    <w:rsid w:val="00F37615"/>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66D9B-2127-4306-B689-6852C7C3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14401</Words>
  <Characters>90730</Characters>
  <Application>Microsoft Office Word</Application>
  <DocSecurity>0</DocSecurity>
  <Lines>756</Lines>
  <Paragraphs>209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104922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54</cp:revision>
  <cp:lastPrinted>2019-05-21T14:13:00Z</cp:lastPrinted>
  <dcterms:created xsi:type="dcterms:W3CDTF">2019-05-16T09:23:00Z</dcterms:created>
  <dcterms:modified xsi:type="dcterms:W3CDTF">2019-05-21T15:21:00Z</dcterms:modified>
</cp:coreProperties>
</file>