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proofErr w:type="gramStart"/>
      <w:r w:rsidRPr="00955293">
        <w:rPr>
          <w:b/>
          <w:lang w:val="en-US"/>
        </w:rPr>
        <w:t>)</w:t>
      </w:r>
      <w:proofErr w:type="gramEnd"/>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0E469BEC" w:rsidR="004E1399" w:rsidRPr="00955293" w:rsidRDefault="003364C9" w:rsidP="006A5BD7">
      <w:pPr>
        <w:spacing w:after="240" w:line="240" w:lineRule="auto"/>
        <w:jc w:val="both"/>
        <w:rPr>
          <w:b/>
          <w:bCs/>
          <w:sz w:val="36"/>
          <w:szCs w:val="36"/>
          <w:lang w:val="en-GB"/>
        </w:rPr>
      </w:pPr>
      <w:ins w:id="0" w:author="Zimmermann, Barbara Andrea (SOZ)" w:date="2019-05-21T17:02:00Z">
        <w:r w:rsidRPr="003364C9">
          <w:rPr>
            <w:b/>
            <w:bCs/>
            <w:sz w:val="36"/>
            <w:szCs w:val="36"/>
            <w:lang w:val="en-GB"/>
          </w:rPr>
          <w:t>The</w:t>
        </w:r>
        <w:r>
          <w:rPr>
            <w:b/>
            <w:bCs/>
            <w:sz w:val="36"/>
            <w:szCs w:val="36"/>
            <w:lang w:val="en-GB"/>
          </w:rPr>
          <w:t xml:space="preserve"> R</w:t>
        </w:r>
        <w:r w:rsidRPr="003364C9">
          <w:rPr>
            <w:b/>
            <w:bCs/>
            <w:sz w:val="36"/>
            <w:szCs w:val="36"/>
            <w:lang w:val="en-GB"/>
          </w:rPr>
          <w:t>elationship between</w:t>
        </w:r>
        <w:r>
          <w:rPr>
            <w:b/>
            <w:bCs/>
            <w:sz w:val="36"/>
            <w:szCs w:val="36"/>
            <w:lang w:val="en-GB"/>
          </w:rPr>
          <w:t xml:space="preserve"> Educational P</w:t>
        </w:r>
        <w:r w:rsidRPr="003364C9">
          <w:rPr>
            <w:b/>
            <w:bCs/>
            <w:sz w:val="36"/>
            <w:szCs w:val="36"/>
            <w:lang w:val="en-GB"/>
          </w:rPr>
          <w:t>athways and</w:t>
        </w:r>
        <w:r w:rsidRPr="003364C9" w:rsidDel="003364C9">
          <w:rPr>
            <w:b/>
            <w:bCs/>
            <w:sz w:val="36"/>
            <w:szCs w:val="36"/>
            <w:lang w:val="en-GB"/>
          </w:rPr>
          <w:t xml:space="preserve"> </w:t>
        </w:r>
      </w:ins>
      <w:del w:id="1" w:author="Zimmermann, Barbara Andrea (SOZ)" w:date="2019-05-21T17:02:00Z">
        <w:r w:rsidR="004E1399" w:rsidRPr="00955293" w:rsidDel="003364C9">
          <w:rPr>
            <w:b/>
            <w:bCs/>
            <w:sz w:val="36"/>
            <w:szCs w:val="36"/>
            <w:lang w:val="en-GB"/>
          </w:rPr>
          <w:delText xml:space="preserve">Do Educational Pathways Moderate the Effects of Social Origin and Gender on </w:delText>
        </w:r>
      </w:del>
      <w:r w:rsidR="004E1399" w:rsidRPr="00955293">
        <w:rPr>
          <w:b/>
          <w:bCs/>
          <w:sz w:val="36"/>
          <w:szCs w:val="36"/>
          <w:lang w:val="en-GB"/>
        </w:rPr>
        <w:t>Occupational Outcomes</w:t>
      </w:r>
      <w:ins w:id="2" w:author="Zimmermann, Barbara Andrea (SOZ)" w:date="2019-05-21T17:03:00Z">
        <w:r>
          <w:rPr>
            <w:b/>
            <w:bCs/>
            <w:sz w:val="36"/>
            <w:szCs w:val="36"/>
            <w:lang w:val="en-GB"/>
          </w:rPr>
          <w:t xml:space="preserve"> at the Intersection of Gender and Social Origin</w:t>
        </w:r>
      </w:ins>
      <w:del w:id="3" w:author="Zimmermann, Barbara Andrea (SOZ)" w:date="2019-05-21T17:02:00Z">
        <w:r w:rsidR="004E1399" w:rsidRPr="00955293" w:rsidDel="003364C9">
          <w:rPr>
            <w:b/>
            <w:bCs/>
            <w:sz w:val="36"/>
            <w:szCs w:val="36"/>
            <w:lang w:val="en-GB"/>
          </w:rPr>
          <w:delText>?</w:delText>
        </w:r>
      </w:del>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xml:space="preserve">© YEAR by the author(s); licensee </w:t>
      </w:r>
      <w:proofErr w:type="spellStart"/>
      <w:r w:rsidRPr="00955293">
        <w:rPr>
          <w:lang w:val="en-US"/>
        </w:rPr>
        <w:t>Cogitatio</w:t>
      </w:r>
      <w:proofErr w:type="spellEnd"/>
      <w:r w:rsidRPr="00955293">
        <w:rPr>
          <w:lang w:val="en-US"/>
        </w:rPr>
        <w:t xml:space="preserve"> (Lisbon, Portugal). This article </w:t>
      </w:r>
      <w:proofErr w:type="gramStart"/>
      <w:r w:rsidRPr="00955293">
        <w:rPr>
          <w:lang w:val="en-US"/>
        </w:rPr>
        <w:t>is licensed</w:t>
      </w:r>
      <w:proofErr w:type="gramEnd"/>
      <w:r w:rsidRPr="00955293">
        <w:rPr>
          <w:lang w:val="en-US"/>
        </w:rPr>
        <w:t xml:space="preserve">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r>
      <w:proofErr w:type="gramStart"/>
      <w:r w:rsidRPr="00955293">
        <w:rPr>
          <w:lang w:val="en-GB"/>
        </w:rPr>
        <w:t>)advantages</w:t>
      </w:r>
      <w:proofErr w:type="gramEnd"/>
      <w:r w:rsidRPr="00955293">
        <w:rPr>
          <w:lang w:val="en-GB"/>
        </w:rPr>
        <w:t xml:space="preserve">. When Ralf </w:t>
      </w:r>
      <w:proofErr w:type="spellStart"/>
      <w:r w:rsidRPr="00955293">
        <w:rPr>
          <w:lang w:val="en-GB"/>
        </w:rPr>
        <w:t>Dahrendorf</w:t>
      </w:r>
      <w:proofErr w:type="spellEnd"/>
      <w:r w:rsidRPr="00955293">
        <w:rPr>
          <w:lang w:val="en-GB"/>
        </w:rPr>
        <w:t xml:space="preserve">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w:t>
      </w:r>
      <w:proofErr w:type="spellStart"/>
      <w:r w:rsidRPr="00955293">
        <w:rPr>
          <w:lang w:val="en-GB"/>
        </w:rPr>
        <w:t>Dahrendorf</w:t>
      </w:r>
      <w:proofErr w:type="spellEnd"/>
      <w:r w:rsidRPr="00955293">
        <w:rPr>
          <w:lang w:val="en-GB"/>
        </w:rPr>
        <w:t xml:space="preserve"> was aware that these groups </w:t>
      </w:r>
      <w:proofErr w:type="gramStart"/>
      <w:r w:rsidRPr="00955293">
        <w:rPr>
          <w:lang w:val="en-GB"/>
        </w:rPr>
        <w:t>may</w:t>
      </w:r>
      <w:proofErr w:type="gramEnd"/>
      <w:r w:rsidRPr="00955293">
        <w:rPr>
          <w:lang w:val="en-GB"/>
        </w:rPr>
        <w:t xml:space="preserve">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xml:space="preserve">. With social changes, such as, for example, the expansion of education, </w:t>
      </w:r>
      <w:proofErr w:type="spellStart"/>
      <w:r w:rsidRPr="00955293">
        <w:rPr>
          <w:lang w:val="en-GB"/>
        </w:rPr>
        <w:t>postindustrialisation</w:t>
      </w:r>
      <w:proofErr w:type="spellEnd"/>
      <w:r w:rsidRPr="00955293">
        <w:rPr>
          <w:lang w:val="en-GB"/>
        </w:rPr>
        <w:t>,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 xml:space="preserve">(Blau </w:t>
      </w:r>
      <w:r w:rsidR="00833DCA">
        <w:rPr>
          <w:noProof/>
          <w:lang w:val="en-GB"/>
        </w:rPr>
        <w:lastRenderedPageBreak/>
        <w:t>&amp;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33C3D4CF" w14:textId="1B978A90" w:rsidR="004E1399" w:rsidRPr="00955293" w:rsidRDefault="004E1399" w:rsidP="006A5BD7">
      <w:pPr>
        <w:spacing w:after="240" w:line="240" w:lineRule="auto"/>
        <w:jc w:val="both"/>
        <w:rPr>
          <w:lang w:val="en-GB"/>
        </w:rPr>
      </w:pPr>
      <w:r w:rsidRPr="00785DFA">
        <w:rPr>
          <w:highlight w:val="yellow"/>
          <w:lang w:val="en-GB"/>
        </w:rPr>
        <w:t xml:space="preserve">In the current </w:t>
      </w:r>
      <w:r w:rsidR="00785DFA" w:rsidRPr="00785DFA">
        <w:rPr>
          <w:highlight w:val="yellow"/>
          <w:lang w:val="en-GB"/>
        </w:rPr>
        <w:t>research,</w:t>
      </w:r>
      <w:r w:rsidRPr="00785DFA">
        <w:rPr>
          <w:highlight w:val="yellow"/>
          <w:lang w:val="en-GB"/>
        </w:rPr>
        <w:t xml:space="preserve"> we are interested in how social origin and gender interact and shape the early life courses from the end of compulsory school to the first years in the l</w:t>
      </w:r>
      <w:r w:rsidR="00DA61D3" w:rsidRPr="00785DFA">
        <w:rPr>
          <w:highlight w:val="yellow"/>
          <w:lang w:val="en-GB"/>
        </w:rPr>
        <w:t>abour market. The question</w:t>
      </w:r>
      <w:r w:rsidRPr="00785DFA">
        <w:rPr>
          <w:highlight w:val="yellow"/>
          <w:lang w:val="en-GB"/>
        </w:rPr>
        <w:t xml:space="preserve"> we try to answer in this article</w:t>
      </w:r>
      <w:r w:rsidR="00DA61D3" w:rsidRPr="00785DFA">
        <w:rPr>
          <w:highlight w:val="yellow"/>
          <w:lang w:val="en-GB"/>
        </w:rPr>
        <w:t xml:space="preserve"> is, </w:t>
      </w:r>
      <w:r w:rsidR="00785DFA">
        <w:rPr>
          <w:highlight w:val="yellow"/>
          <w:lang w:val="en-GB"/>
        </w:rPr>
        <w:t>whether</w:t>
      </w:r>
      <w:r w:rsidR="00DA61D3" w:rsidRPr="00785DFA">
        <w:rPr>
          <w:highlight w:val="yellow"/>
          <w:lang w:val="en-GB"/>
        </w:rPr>
        <w:t xml:space="preserve"> there</w:t>
      </w:r>
      <w:r w:rsidRPr="00785DFA">
        <w:rPr>
          <w:highlight w:val="yellow"/>
          <w:lang w:val="en-GB"/>
        </w:rPr>
        <w:t xml:space="preserve"> </w:t>
      </w:r>
      <w:r w:rsidR="00DA61D3" w:rsidRPr="00785DFA">
        <w:rPr>
          <w:highlight w:val="yellow"/>
          <w:lang w:val="en-GB"/>
        </w:rPr>
        <w:t>are differences in</w:t>
      </w:r>
      <w:r w:rsidRPr="00785DFA">
        <w:rPr>
          <w:highlight w:val="yellow"/>
          <w:lang w:val="en-GB"/>
        </w:rPr>
        <w:t xml:space="preserve"> educational pathways </w:t>
      </w:r>
      <w:r w:rsidR="00DA61D3" w:rsidRPr="00785DFA">
        <w:rPr>
          <w:highlight w:val="yellow"/>
          <w:lang w:val="en-GB"/>
        </w:rPr>
        <w:t>and in</w:t>
      </w:r>
      <w:r w:rsidRPr="00785DFA">
        <w:rPr>
          <w:highlight w:val="yellow"/>
          <w:lang w:val="en-GB"/>
        </w:rPr>
        <w:t xml:space="preserve"> the early working life, namely occupational status and income</w:t>
      </w:r>
      <w:r w:rsidR="00DA61D3" w:rsidRPr="00785DFA">
        <w:rPr>
          <w:highlight w:val="yellow"/>
          <w:lang w:val="en-GB"/>
        </w:rPr>
        <w:t>, by social origin and gender jointly</w:t>
      </w:r>
      <w:r w:rsidRPr="00785DFA">
        <w:rPr>
          <w:highlight w:val="yellow"/>
          <w:lang w:val="en-GB"/>
        </w:rPr>
        <w:t xml:space="preserve">. </w:t>
      </w:r>
      <w:r w:rsidR="003364C9" w:rsidRPr="00785DFA">
        <w:rPr>
          <w:highlight w:val="yellow"/>
          <w:lang w:val="en-GB"/>
        </w:rPr>
        <w:t>Our main interest lies in describing the overall relationship between social origin and gender, and the educational trajectories as well as subsequent labour market outcomes</w:t>
      </w:r>
      <w:r w:rsidR="00785DFA">
        <w:rPr>
          <w:highlight w:val="yellow"/>
          <w:lang w:val="en-GB"/>
        </w:rPr>
        <w:t>, rather than in identifying causal mechanisms that might be responsible for these differences</w:t>
      </w:r>
      <w:r w:rsidR="003364C9" w:rsidRPr="00785DFA">
        <w:rPr>
          <w:highlight w:val="yellow"/>
          <w:lang w:val="en-GB"/>
        </w:rPr>
        <w:t>.</w:t>
      </w:r>
      <w:r w:rsidR="003364C9">
        <w:rPr>
          <w:lang w:val="en-GB"/>
        </w:rPr>
        <w:t xml:space="preserve"> </w:t>
      </w:r>
      <w:r w:rsidRPr="00955293">
        <w:rPr>
          <w:lang w:val="en-GB"/>
        </w:rPr>
        <w:t>Theoretically, we combine two lines of argumentation: First, we draw on the literature on primary and secondary effects of origin</w:t>
      </w:r>
      <w:r w:rsidR="001E46F6">
        <w:rPr>
          <w:lang w:val="en-GB"/>
        </w:rPr>
        <w:t xml:space="preserve"> </w:t>
      </w:r>
      <w:r w:rsidR="001E46F6">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 </w:instrText>
      </w:r>
      <w:r w:rsidR="00833DCA">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EN.CITE.DATA </w:instrText>
      </w:r>
      <w:r w:rsidR="00833DCA">
        <w:rPr>
          <w:lang w:val="en-GB"/>
        </w:rPr>
      </w:r>
      <w:r w:rsidR="00833DCA">
        <w:rPr>
          <w:lang w:val="en-GB"/>
        </w:rPr>
        <w:fldChar w:fldCharType="end"/>
      </w:r>
      <w:r w:rsidR="001E46F6">
        <w:rPr>
          <w:lang w:val="en-GB"/>
        </w:rPr>
      </w:r>
      <w:r w:rsidR="001E46F6">
        <w:rPr>
          <w:lang w:val="en-GB"/>
        </w:rPr>
        <w:fldChar w:fldCharType="separate"/>
      </w:r>
      <w:r w:rsidR="00833DCA">
        <w:rPr>
          <w:noProof/>
          <w:lang w:val="en-GB"/>
        </w:rPr>
        <w:t>(Boudon, 1974; Bourdieu &amp; Passeron, 1971; Breen &amp; Goldthorpe, 1997)</w:t>
      </w:r>
      <w:r w:rsidR="001E46F6">
        <w:rPr>
          <w:lang w:val="en-GB"/>
        </w:rPr>
        <w:fldChar w:fldCharType="end"/>
      </w:r>
      <w:r w:rsidRPr="00955293">
        <w:rPr>
          <w:lang w:val="en-GB"/>
        </w:rPr>
        <w:t xml:space="preserve">. Second, we complement this with theories on gender segregation in education and employment (Charles &amp; Bradley, 2002, 2009). Throughout the </w:t>
      </w:r>
      <w:proofErr w:type="gramStart"/>
      <w:r w:rsidRPr="00955293">
        <w:rPr>
          <w:lang w:val="en-GB"/>
        </w:rPr>
        <w:t>paper</w:t>
      </w:r>
      <w:proofErr w:type="gramEnd"/>
      <w:r w:rsidRPr="00955293">
        <w:rPr>
          <w:lang w:val="en-GB"/>
        </w:rPr>
        <w:t xml:space="preserve">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r w:rsidR="00785DFA">
        <w:rPr>
          <w:lang w:val="en-GB"/>
        </w:rPr>
        <w:t xml:space="preserve"> </w:t>
      </w:r>
      <w:r w:rsidR="00785DFA">
        <w:rPr>
          <w:highlight w:val="yellow"/>
          <w:lang w:val="en-GB"/>
        </w:rPr>
        <w:t xml:space="preserve">Our article has two main strengths compared to previous research, it </w:t>
      </w:r>
      <w:r w:rsidR="00785DFA" w:rsidRPr="00785DFA">
        <w:rPr>
          <w:highlight w:val="yellow"/>
          <w:lang w:val="en-GB"/>
        </w:rPr>
        <w:t>give</w:t>
      </w:r>
      <w:r w:rsidR="00785DFA">
        <w:rPr>
          <w:highlight w:val="yellow"/>
          <w:lang w:val="en-GB"/>
        </w:rPr>
        <w:t>s</w:t>
      </w:r>
      <w:r w:rsidR="00785DFA" w:rsidRPr="00785DFA">
        <w:rPr>
          <w:highlight w:val="yellow"/>
          <w:lang w:val="en-GB"/>
        </w:rPr>
        <w:t xml:space="preserve"> a more complete overview over the entire post-compulsory educational trajectory and the early years of the working life</w:t>
      </w:r>
      <w:r w:rsidR="00785DFA">
        <w:rPr>
          <w:highlight w:val="yellow"/>
          <w:lang w:val="en-GB"/>
        </w:rPr>
        <w:t xml:space="preserve"> and it systematically incorporates an intersectional approach by analysing gender and social origin jointly</w:t>
      </w:r>
      <w:r w:rsidR="00785DFA" w:rsidRPr="00785DFA">
        <w:rPr>
          <w:highlight w:val="yellow"/>
          <w:lang w:val="en-GB"/>
        </w:rPr>
        <w:t>.</w:t>
      </w:r>
      <w:r w:rsidR="00785DFA">
        <w:rPr>
          <w:lang w:val="en-GB"/>
        </w:rPr>
        <w:t xml:space="preserve"> </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 xml:space="preserve">In addition to these primary effects, children from higher social origin reach higher levels of educational attainment, even if they perform equally as their counterparts from lower social origin. In the literature, these secondary effects of social origin </w:t>
      </w:r>
      <w:proofErr w:type="gramStart"/>
      <w:r w:rsidRPr="00955293">
        <w:rPr>
          <w:lang w:val="en-US"/>
        </w:rPr>
        <w:t>have been explained</w:t>
      </w:r>
      <w:proofErr w:type="gramEnd"/>
      <w:r w:rsidRPr="00955293">
        <w:rPr>
          <w:lang w:val="en-US"/>
        </w:rPr>
        <w:t xml:space="preserve">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2B6A3F8C" w:rsidR="004E1399" w:rsidRPr="00955293" w:rsidRDefault="004E1399" w:rsidP="006A5BD7">
      <w:pPr>
        <w:spacing w:after="240" w:line="240" w:lineRule="auto"/>
        <w:jc w:val="both"/>
        <w:rPr>
          <w:lang w:val="en-GB"/>
        </w:rPr>
      </w:pPr>
      <w:r w:rsidRPr="00955293">
        <w:rPr>
          <w:lang w:val="en-GB"/>
        </w:rPr>
        <w:t xml:space="preserve">A few studies have taken an intersectional approach to analyse effects of different </w:t>
      </w:r>
      <w:proofErr w:type="spellStart"/>
      <w:r w:rsidRPr="00955293">
        <w:rPr>
          <w:lang w:val="en-GB"/>
        </w:rPr>
        <w:t>ascriptive</w:t>
      </w:r>
      <w:proofErr w:type="spellEnd"/>
      <w:r w:rsidRPr="00955293">
        <w:rPr>
          <w:lang w:val="en-GB"/>
        </w:rPr>
        <w:t xml:space="preser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p>
    <w:p w14:paraId="6C2EC922" w14:textId="05633AE0" w:rsidR="004E1399" w:rsidRPr="00955293" w:rsidRDefault="004E1399" w:rsidP="006A5BD7">
      <w:pPr>
        <w:spacing w:after="240" w:line="240" w:lineRule="auto"/>
        <w:jc w:val="both"/>
        <w:rPr>
          <w:lang w:val="en-GB"/>
        </w:rPr>
      </w:pPr>
      <w:r w:rsidRPr="00955293">
        <w:rPr>
          <w:lang w:val="en-GB"/>
        </w:rPr>
        <w:t xml:space="preserve">Primary and secondary effects of social origin do not only influence the level of education one attains, but there is also a horizontal dimension to it. In other words, within a certain level of education, students from </w:t>
      </w:r>
      <w:r w:rsidRPr="00955293">
        <w:rPr>
          <w:lang w:val="en-GB"/>
        </w:rPr>
        <w:lastRenderedPageBreak/>
        <w:t>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w:t>
      </w:r>
      <w:proofErr w:type="gramStart"/>
      <w:r w:rsidR="004E1399" w:rsidRPr="00955293">
        <w:rPr>
          <w:lang w:val="en-GB"/>
        </w:rPr>
        <w:t>can be identified</w:t>
      </w:r>
      <w:proofErr w:type="gramEnd"/>
      <w:r w:rsidR="004E1399" w:rsidRPr="00955293">
        <w:rPr>
          <w:lang w:val="en-GB"/>
        </w:rPr>
        <w:t xml:space="preserve">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xml:space="preserve">. Accordingly, social roles, such as, for example occupations, </w:t>
      </w:r>
      <w:proofErr w:type="gramStart"/>
      <w:r w:rsidRPr="00955293">
        <w:rPr>
          <w:lang w:val="en-GB"/>
        </w:rPr>
        <w:t>are gendered</w:t>
      </w:r>
      <w:proofErr w:type="gramEnd"/>
      <w:r w:rsidRPr="00955293">
        <w:rPr>
          <w:lang w:val="en-GB"/>
        </w:rPr>
        <w:t xml:space="preserve">, too. That is, technical or manual occupations, as well as leadership positions </w:t>
      </w:r>
      <w:proofErr w:type="gramStart"/>
      <w:r w:rsidRPr="00955293">
        <w:rPr>
          <w:lang w:val="en-GB"/>
        </w:rPr>
        <w:t>are being considered</w:t>
      </w:r>
      <w:proofErr w:type="gramEnd"/>
      <w:r w:rsidRPr="00955293">
        <w:rPr>
          <w:lang w:val="en-GB"/>
        </w:rPr>
        <w:t xml:space="preserve">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5B2E6A16"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w:t>
      </w:r>
      <w:r w:rsidR="007323D5">
        <w:rPr>
          <w:lang w:val="en-GB"/>
        </w:rPr>
        <w:t xml:space="preserve"> gender segregation and segregation by parental status,</w:t>
      </w:r>
      <w:r w:rsidRPr="00955293">
        <w:rPr>
          <w:lang w:val="en-GB"/>
        </w:rPr>
        <w:t xml:space="preserve">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lastRenderedPageBreak/>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0E6C70CF"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w:t>
      </w:r>
      <w:proofErr w:type="gramStart"/>
      <w:r w:rsidRPr="00955293">
        <w:rPr>
          <w:lang w:val="en-GB"/>
        </w:rPr>
        <w:t>can be assumed</w:t>
      </w:r>
      <w:proofErr w:type="gramEnd"/>
      <w:r w:rsidRPr="00955293">
        <w:rPr>
          <w:lang w:val="en-GB"/>
        </w:rPr>
        <w:t xml:space="preserve"> that the higher the socioeconomic status of the parents, the better the school performance of children and the more likely it is that they follow an academic educational trajectory. We believe that this is 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w:t>
      </w:r>
      <w:proofErr w:type="gramStart"/>
      <w:r w:rsidRPr="00955293">
        <w:rPr>
          <w:lang w:val="en-GB"/>
        </w:rPr>
        <w:t>is provided</w:t>
      </w:r>
      <w:proofErr w:type="gramEnd"/>
      <w:r w:rsidRPr="00955293">
        <w:rPr>
          <w:lang w:val="en-GB"/>
        </w:rPr>
        <w:t xml:space="preserve"> via general schools on secondary level.</w:t>
      </w:r>
      <w:r w:rsidR="00224627">
        <w:rPr>
          <w:rStyle w:val="Funotenzeichen"/>
          <w:lang w:val="en-GB"/>
        </w:rPr>
        <w:footnoteReference w:id="1"/>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75CF55FB" w:rsidR="004E1399" w:rsidRPr="00955293" w:rsidRDefault="004E1399" w:rsidP="006A5BD7">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w:t>
      </w:r>
      <w:proofErr w:type="gramStart"/>
      <w:r w:rsidRPr="00955293">
        <w:rPr>
          <w:lang w:val="en-GB"/>
        </w:rPr>
        <w:t>main focus</w:t>
      </w:r>
      <w:proofErr w:type="gramEnd"/>
      <w:r w:rsidRPr="00955293">
        <w:rPr>
          <w:lang w:val="en-GB"/>
        </w:rPr>
        <w:t xml:space="preserve"> of the PISA 2000 tests were the reading skills. All students answered the reading assignments, but </w:t>
      </w:r>
      <w:r w:rsidR="001630B6">
        <w:rPr>
          <w:lang w:val="en-GB"/>
        </w:rPr>
        <w:t xml:space="preserve">half of them answered </w:t>
      </w:r>
      <w:r w:rsidRPr="00955293">
        <w:rPr>
          <w:lang w:val="en-GB"/>
        </w:rPr>
        <w:t>only either the mathematics or the science tasks. To reach a bigger number of cases we combine</w:t>
      </w:r>
      <w:r w:rsidR="00E21FCA">
        <w:rPr>
          <w:lang w:val="en-GB"/>
        </w:rPr>
        <w:t>d</w:t>
      </w:r>
      <w:r w:rsidRPr="00955293">
        <w:rPr>
          <w:lang w:val="en-GB"/>
        </w:rPr>
        <w:t xml:space="preserve"> the two scores of mathematics and science.</w:t>
      </w:r>
      <w:r w:rsidR="00E21FCA">
        <w:rPr>
          <w:lang w:val="en-GB"/>
        </w:rPr>
        <w:t xml:space="preserve"> </w:t>
      </w:r>
      <w:r w:rsidR="001630B6">
        <w:rPr>
          <w:lang w:val="en-GB"/>
        </w:rPr>
        <w:t>We used the scores from the test</w:t>
      </w:r>
      <w:r w:rsidR="004E56E6">
        <w:rPr>
          <w:lang w:val="en-GB"/>
        </w:rPr>
        <w:t xml:space="preserve"> that students have</w:t>
      </w:r>
      <w:r w:rsidR="001630B6">
        <w:rPr>
          <w:lang w:val="en-GB"/>
        </w:rPr>
        <w:t xml:space="preserve"> </w:t>
      </w:r>
      <w:proofErr w:type="gramStart"/>
      <w:r w:rsidR="001630B6">
        <w:rPr>
          <w:lang w:val="en-GB"/>
        </w:rPr>
        <w:t>taken</w:t>
      </w:r>
      <w:r w:rsidR="004E56E6">
        <w:rPr>
          <w:lang w:val="en-GB"/>
        </w:rPr>
        <w:t>,</w:t>
      </w:r>
      <w:proofErr w:type="gramEnd"/>
      <w:r w:rsidR="004E56E6">
        <w:rPr>
          <w:lang w:val="en-GB"/>
        </w:rPr>
        <w:t xml:space="preserve"> either mathematics or science</w:t>
      </w:r>
      <w:r w:rsidR="001630B6">
        <w:rPr>
          <w:lang w:val="en-GB"/>
        </w:rPr>
        <w:t xml:space="preserve">. If both </w:t>
      </w:r>
      <w:r w:rsidR="004E56E6">
        <w:rPr>
          <w:lang w:val="en-GB"/>
        </w:rPr>
        <w:t xml:space="preserve">tests </w:t>
      </w:r>
      <w:proofErr w:type="gramStart"/>
      <w:r w:rsidR="001630B6">
        <w:rPr>
          <w:lang w:val="en-GB"/>
        </w:rPr>
        <w:t>were taken</w:t>
      </w:r>
      <w:proofErr w:type="gramEnd"/>
      <w:r w:rsidR="001630B6">
        <w:rPr>
          <w:lang w:val="en-GB"/>
        </w:rPr>
        <w:t xml:space="preserve">, we calculated the mean score of </w:t>
      </w:r>
      <w:r w:rsidR="004E56E6">
        <w:rPr>
          <w:lang w:val="en-GB"/>
        </w:rPr>
        <w:t>them</w:t>
      </w:r>
      <w:r w:rsidR="00E21FCA">
        <w:rPr>
          <w:lang w:val="en-GB"/>
        </w:rPr>
        <w:t>.</w:t>
      </w:r>
      <w:r w:rsidR="004E56E6">
        <w:rPr>
          <w:lang w:val="en-GB"/>
        </w:rPr>
        <w:t xml:space="preserve"> </w:t>
      </w:r>
      <w:r w:rsidR="004E56E6" w:rsidRPr="004E56E6">
        <w:rPr>
          <w:highlight w:val="red"/>
          <w:lang w:val="en-GB"/>
        </w:rPr>
        <w:t xml:space="preserve">Another </w:t>
      </w:r>
      <w:r w:rsidRPr="004E56E6">
        <w:rPr>
          <w:highlight w:val="red"/>
          <w:lang w:val="en-GB"/>
        </w:rPr>
        <w:t xml:space="preserve">variable used from the PISA database is the socioeconomic status of the parents. We use the international socioeconomic index (ISEI), </w:t>
      </w:r>
      <w:proofErr w:type="gramStart"/>
      <w:r w:rsidRPr="004E56E6">
        <w:rPr>
          <w:highlight w:val="red"/>
          <w:lang w:val="en-GB"/>
        </w:rPr>
        <w:t>either from the father or the</w:t>
      </w:r>
      <w:proofErr w:type="gramEnd"/>
      <w:r w:rsidRPr="004E56E6">
        <w:rPr>
          <w:highlight w:val="red"/>
          <w:lang w:val="en-GB"/>
        </w:rPr>
        <w:t xml:space="preserve"> mother, depending on which one is higher. This score is based on the students information on parents occupation </w:t>
      </w:r>
      <w:r w:rsidR="003B051E" w:rsidRPr="004E56E6">
        <w:rPr>
          <w:highlight w:val="red"/>
          <w:lang w:val="en-GB"/>
        </w:rPr>
        <w:fldChar w:fldCharType="begin"/>
      </w:r>
      <w:r w:rsidR="00833DCA" w:rsidRPr="004E56E6">
        <w:rPr>
          <w:highlight w:val="red"/>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sidRPr="004E56E6">
        <w:rPr>
          <w:highlight w:val="red"/>
          <w:lang w:val="en-GB"/>
        </w:rPr>
        <w:fldChar w:fldCharType="separate"/>
      </w:r>
      <w:r w:rsidR="00833DCA" w:rsidRPr="004E56E6">
        <w:rPr>
          <w:noProof/>
          <w:highlight w:val="red"/>
          <w:lang w:val="en-GB"/>
        </w:rPr>
        <w:t>(Adams &amp; Wu, 2003)</w:t>
      </w:r>
      <w:r w:rsidR="003B051E" w:rsidRPr="004E56E6">
        <w:rPr>
          <w:highlight w:val="red"/>
          <w:lang w:val="en-GB"/>
        </w:rPr>
        <w:fldChar w:fldCharType="end"/>
      </w:r>
      <w:r w:rsidRPr="004E56E6">
        <w:rPr>
          <w:highlight w:val="red"/>
          <w:lang w:val="en-GB"/>
        </w:rPr>
        <w:t>.</w:t>
      </w:r>
      <w:r w:rsidRPr="00955293">
        <w:rPr>
          <w:lang w:val="en-GB"/>
        </w:rPr>
        <w:t xml:space="preserve">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commentRangeStart w:id="4"/>
      <w:r w:rsidRPr="00955293">
        <w:rPr>
          <w:lang w:val="en-US"/>
        </w:rPr>
        <w:t xml:space="preserve">Vocational </w:t>
      </w:r>
      <w:commentRangeEnd w:id="4"/>
      <w:r w:rsidR="00224627">
        <w:rPr>
          <w:rStyle w:val="Kommentarzeichen"/>
          <w:rFonts w:asciiTheme="minorHAnsi" w:eastAsiaTheme="minorHAnsi" w:hAnsiTheme="minorHAnsi" w:cstheme="minorBidi"/>
          <w:lang w:val="en-GB"/>
        </w:rPr>
        <w:commentReference w:id="4"/>
      </w:r>
      <w:r w:rsidRPr="00955293">
        <w:rPr>
          <w:lang w:val="en-US"/>
        </w:rPr>
        <w:t>education and training on secondary level (e.g. apprenticeship)</w:t>
      </w:r>
    </w:p>
    <w:p w14:paraId="536B665B" w14:textId="00CFD379" w:rsidR="004E1399" w:rsidRPr="00955293" w:rsidRDefault="00C12E78" w:rsidP="006A5BD7">
      <w:pPr>
        <w:numPr>
          <w:ilvl w:val="0"/>
          <w:numId w:val="7"/>
        </w:numPr>
        <w:spacing w:after="240" w:line="240" w:lineRule="auto"/>
        <w:jc w:val="both"/>
        <w:rPr>
          <w:lang w:val="en-US"/>
        </w:rPr>
      </w:pPr>
      <w:r>
        <w:rPr>
          <w:lang w:val="en-US"/>
        </w:rPr>
        <w:t xml:space="preserve">Upper secondary specialized </w:t>
      </w:r>
      <w:r w:rsidR="00F37615">
        <w:rPr>
          <w:lang w:val="en-US"/>
        </w:rPr>
        <w:t>school</w:t>
      </w:r>
      <w:r w:rsidR="004E1399" w:rsidRPr="00955293">
        <w:rPr>
          <w:lang w:val="en-US"/>
        </w:rPr>
        <w:t xml:space="preserve"> (e.g. schools that prepare for further education, mainly in the health sector)</w:t>
      </w:r>
    </w:p>
    <w:p w14:paraId="5A429C48" w14:textId="23EBD5C1" w:rsidR="004E1399" w:rsidRPr="00955293" w:rsidRDefault="004E1399" w:rsidP="006A5BD7">
      <w:pPr>
        <w:numPr>
          <w:ilvl w:val="0"/>
          <w:numId w:val="7"/>
        </w:numPr>
        <w:spacing w:after="240" w:line="240" w:lineRule="auto"/>
        <w:jc w:val="both"/>
        <w:rPr>
          <w:lang w:val="en-US"/>
        </w:rPr>
      </w:pPr>
      <w:r w:rsidRPr="00955293">
        <w:rPr>
          <w:lang w:val="en-US"/>
        </w:rPr>
        <w:t xml:space="preserve">General secondary education (e.g. </w:t>
      </w:r>
      <w:r w:rsidR="00F37615">
        <w:rPr>
          <w:lang w:val="en-US"/>
        </w:rPr>
        <w:t>baccalaureate</w:t>
      </w:r>
      <w:r w:rsidRPr="00955293">
        <w:rPr>
          <w:lang w:val="en-US"/>
        </w:rPr>
        <w:t xml:space="preserve"> school)</w:t>
      </w:r>
    </w:p>
    <w:p w14:paraId="48724D39" w14:textId="37431498" w:rsidR="004E1399" w:rsidRPr="00955293" w:rsidRDefault="00F37615" w:rsidP="006A5BD7">
      <w:pPr>
        <w:numPr>
          <w:ilvl w:val="0"/>
          <w:numId w:val="7"/>
        </w:numPr>
        <w:spacing w:after="240" w:line="240" w:lineRule="auto"/>
        <w:jc w:val="both"/>
        <w:rPr>
          <w:lang w:val="en-US"/>
        </w:rPr>
      </w:pPr>
      <w:r>
        <w:rPr>
          <w:lang w:val="en-US"/>
        </w:rPr>
        <w:lastRenderedPageBreak/>
        <w:t>College of higher education</w:t>
      </w:r>
      <w:r w:rsidR="004E1399" w:rsidRPr="00955293">
        <w:rPr>
          <w:lang w:val="en-US"/>
        </w:rPr>
        <w:t xml:space="preserve">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07E35E3A" w:rsidR="004E1399" w:rsidRPr="00955293" w:rsidRDefault="004E1399" w:rsidP="006A5BD7">
      <w:pPr>
        <w:numPr>
          <w:ilvl w:val="0"/>
          <w:numId w:val="7"/>
        </w:numPr>
        <w:spacing w:after="240" w:line="240" w:lineRule="auto"/>
        <w:jc w:val="both"/>
        <w:rPr>
          <w:lang w:val="en-US"/>
        </w:rPr>
      </w:pPr>
      <w:r w:rsidRPr="00955293">
        <w:rPr>
          <w:lang w:val="en-US"/>
        </w:rPr>
        <w:t>Advanced studies</w:t>
      </w:r>
      <w:r w:rsidR="00F37615">
        <w:rPr>
          <w:lang w:val="en-US"/>
        </w:rPr>
        <w:t xml:space="preserve"> (Certificate / Diploma / Master of 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t>NEET (neither in education nor employed)</w:t>
      </w:r>
    </w:p>
    <w:p w14:paraId="2340A5AF" w14:textId="440B2D30" w:rsidR="004E1399" w:rsidRPr="00955293" w:rsidRDefault="004E1399" w:rsidP="006A5BD7">
      <w:pPr>
        <w:spacing w:after="240" w:line="240" w:lineRule="auto"/>
        <w:jc w:val="both"/>
        <w:rPr>
          <w:lang w:val="en-GB"/>
        </w:rPr>
      </w:pPr>
      <w:r w:rsidRPr="00955293">
        <w:rPr>
          <w:lang w:val="en-GB"/>
        </w:rPr>
        <w:t xml:space="preserve">Our main outcome variables are the individuals own socioeconomic status and their income in 2014, at around age 30. To measure the socioeconomic status we constructed the ISEI from the ISCO-08 that </w:t>
      </w:r>
      <w:proofErr w:type="gramStart"/>
      <w:r w:rsidRPr="00955293">
        <w:rPr>
          <w:lang w:val="en-GB"/>
        </w:rPr>
        <w:t>is provided</w:t>
      </w:r>
      <w:proofErr w:type="gramEnd"/>
      <w:r w:rsidRPr="00955293">
        <w:rPr>
          <w:lang w:val="en-GB"/>
        </w:rPr>
        <w:t xml:space="preserve">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5B045D">
        <w:rPr>
          <w:lang w:val="en-GB"/>
        </w:rPr>
        <w:fldChar w:fldCharType="begin"/>
      </w:r>
      <w:r w:rsidRPr="005B045D">
        <w:rPr>
          <w:lang w:val="en-GB"/>
        </w:rPr>
        <w:instrText xml:space="preserve"> REF _Ref2080484 \h </w:instrText>
      </w:r>
      <w:r w:rsidR="00955293" w:rsidRPr="005B045D">
        <w:rPr>
          <w:lang w:val="en-GB"/>
        </w:rPr>
        <w:instrText xml:space="preserve"> \* MERGEFORMAT </w:instrText>
      </w:r>
      <w:r w:rsidRPr="005B045D">
        <w:rPr>
          <w:lang w:val="en-GB"/>
        </w:rPr>
      </w:r>
      <w:r w:rsidRPr="005B045D">
        <w:rPr>
          <w:lang w:val="en-GB"/>
        </w:rPr>
        <w:fldChar w:fldCharType="separate"/>
      </w:r>
      <w:r w:rsidR="00DA61D3" w:rsidRPr="005B045D">
        <w:rPr>
          <w:lang w:val="en-US"/>
        </w:rPr>
        <w:t>Table</w:t>
      </w:r>
      <w:r w:rsidR="00DA61D3" w:rsidRPr="005B045D">
        <w:t xml:space="preserve"> </w:t>
      </w:r>
      <w:r w:rsidR="00DA61D3" w:rsidRPr="005B045D">
        <w:rPr>
          <w:noProof/>
        </w:rPr>
        <w:t>1</w:t>
      </w:r>
      <w:r w:rsidRPr="005B045D">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0DF48429"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w:t>
      </w:r>
      <w:r w:rsidR="00115228">
        <w:rPr>
          <w:lang w:val="en-GB"/>
        </w:rPr>
        <w:t>ed</w:t>
      </w:r>
      <w:r w:rsidRPr="00955293">
        <w:rPr>
          <w:lang w:val="en-GB"/>
        </w:rPr>
        <w:t xml:space="preserve">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xml:space="preserve">. From this procedure results a distance matrix that contains distances between all individual sequences. In a second step, this distance matrix </w:t>
      </w:r>
      <w:proofErr w:type="gramStart"/>
      <w:r w:rsidRPr="00955293">
        <w:rPr>
          <w:lang w:val="en-GB"/>
        </w:rPr>
        <w:t>is being used</w:t>
      </w:r>
      <w:proofErr w:type="gramEnd"/>
      <w:r w:rsidRPr="00955293">
        <w:rPr>
          <w:lang w:val="en-GB"/>
        </w:rPr>
        <w:t xml:space="preserve">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1BE5F7A4" w:rsidR="004E1399" w:rsidRPr="00955293" w:rsidRDefault="004E1399" w:rsidP="006A5BD7">
      <w:pPr>
        <w:spacing w:after="240" w:line="240" w:lineRule="auto"/>
        <w:jc w:val="both"/>
        <w:rPr>
          <w:lang w:val="en-GB"/>
        </w:rPr>
      </w:pPr>
      <w:r w:rsidRPr="00955293">
        <w:rPr>
          <w:lang w:val="en-GB"/>
        </w:rPr>
        <w:t>To test our assumptions we conduct</w:t>
      </w:r>
      <w:r w:rsidR="00115228">
        <w:rPr>
          <w:lang w:val="en-GB"/>
        </w:rPr>
        <w:t>ed</w:t>
      </w:r>
      <w:r w:rsidRPr="00955293">
        <w:rPr>
          <w:lang w:val="en-GB"/>
        </w:rPr>
        <w:t xml:space="preserve"> several regression models. First, we estimate</w:t>
      </w:r>
      <w:r w:rsidR="00115228">
        <w:rPr>
          <w:lang w:val="en-GB"/>
        </w:rPr>
        <w:t>d</w:t>
      </w:r>
      <w:r w:rsidRPr="00955293">
        <w:rPr>
          <w:lang w:val="en-GB"/>
        </w:rPr>
        <w:t xml:space="preserve"> linear regressions to test the primary effects of social origin on reading and mathematics/sciences skills. To take an intersectional approach, we insert</w:t>
      </w:r>
      <w:r w:rsidR="00115228">
        <w:rPr>
          <w:lang w:val="en-GB"/>
        </w:rPr>
        <w:t>ed</w:t>
      </w:r>
      <w:r w:rsidRPr="00955293">
        <w:rPr>
          <w:lang w:val="en-GB"/>
        </w:rPr>
        <w:t xml:space="preserve"> an interaction term of parental ISEI and gender. Second, we applied a multinomial logit model to estimate the probability of pursuing a particular educational trajectory (including a model net of reading, mathematics/science skills). Third, we conduct</w:t>
      </w:r>
      <w:r w:rsidR="00115228">
        <w:rPr>
          <w:lang w:val="en-GB"/>
        </w:rPr>
        <w:t>ed</w:t>
      </w:r>
      <w:r w:rsidRPr="00955293">
        <w:rPr>
          <w:lang w:val="en-GB"/>
        </w:rPr>
        <w:t xml:space="preserve"> again linear regressions to estimate the effect of social origin and gender on the persons own social status and their income at age 30. We estimate</w:t>
      </w:r>
      <w:r w:rsidR="00115228">
        <w:rPr>
          <w:lang w:val="en-GB"/>
        </w:rPr>
        <w:t>d</w:t>
      </w:r>
      <w:r w:rsidRPr="00955293">
        <w:rPr>
          <w:lang w:val="en-GB"/>
        </w:rPr>
        <w:t xml:space="preserve"> an additional model, controlling for the educational trajectory. Finally, we also estimated the effects of the educational trajectory on own status and salary. For all analyses, we use</w:t>
      </w:r>
      <w:r w:rsidR="008F240E">
        <w:rPr>
          <w:lang w:val="en-GB"/>
        </w:rPr>
        <w:t>d</w:t>
      </w:r>
      <w:r w:rsidRPr="00955293">
        <w:rPr>
          <w:lang w:val="en-GB"/>
        </w:rPr>
        <w:t xml:space="preserv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lastRenderedPageBreak/>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 xml:space="preserve">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w:t>
      </w:r>
      <w:proofErr w:type="gramStart"/>
      <w:r w:rsidRPr="00955293">
        <w:rPr>
          <w:lang w:val="en-GB"/>
        </w:rPr>
        <w:t>can be found</w:t>
      </w:r>
      <w:proofErr w:type="gramEnd"/>
      <w:r w:rsidRPr="00955293">
        <w:rPr>
          <w:lang w:val="en-GB"/>
        </w:rPr>
        <w:t xml:space="preserve"> for girls. In mathematics and science, we find a gender difference only for the pupils in the middle range of the parental ISEI, with boys outperforming girls.</w:t>
      </w:r>
    </w:p>
    <w:p w14:paraId="229F6064" w14:textId="59312882" w:rsidR="004E1399" w:rsidRPr="00955293" w:rsidRDefault="00987D85" w:rsidP="006A5BD7">
      <w:pPr>
        <w:spacing w:after="240" w:line="240" w:lineRule="auto"/>
        <w:jc w:val="both"/>
        <w:rPr>
          <w:lang w:val="en-GB"/>
        </w:rPr>
      </w:pPr>
      <w:bookmarkStart w:id="5" w:name="_Ref2080268"/>
      <w:r>
        <w:rPr>
          <w:b/>
          <w:noProof/>
          <w:lang w:val="de-CH" w:eastAsia="de-CH"/>
        </w:rPr>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w:t>
      </w:r>
      <w:r w:rsidR="004E1399" w:rsidRPr="00955293">
        <w:rPr>
          <w:b/>
          <w:lang w:val="en-GB"/>
        </w:rPr>
        <w:fldChar w:fldCharType="end"/>
      </w:r>
      <w:bookmarkEnd w:id="5"/>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lastRenderedPageBreak/>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5259502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DA61D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5A8E7AB2"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shows the distribution of men and women in those clusters. The first cluster contains mainly the trajectories of a vocational education on secondary level followed by employment or to a lesser extent, by subsequent vocational education on tertiary level</w:t>
      </w:r>
      <w:r w:rsidR="008F240E">
        <w:rPr>
          <w:lang w:val="en-GB"/>
        </w:rPr>
        <w:t xml:space="preserve"> (</w:t>
      </w:r>
      <w:proofErr w:type="spellStart"/>
      <w:proofErr w:type="gramStart"/>
      <w:r w:rsidR="008F240E">
        <w:rPr>
          <w:lang w:val="en-GB"/>
        </w:rPr>
        <w:t>eg</w:t>
      </w:r>
      <w:proofErr w:type="spellEnd"/>
      <w:r w:rsidR="008F240E">
        <w:rPr>
          <w:lang w:val="en-GB"/>
        </w:rPr>
        <w:t>. college</w:t>
      </w:r>
      <w:proofErr w:type="gramEnd"/>
      <w:r w:rsidR="008F240E">
        <w:rPr>
          <w:lang w:val="en-GB"/>
        </w:rPr>
        <w:t xml:space="preserve"> of higher education)</w:t>
      </w:r>
      <w:r w:rsidR="004E1399" w:rsidRPr="00955293">
        <w:rPr>
          <w:lang w:val="en-GB"/>
        </w:rPr>
        <w:t xml:space="preserve">. This is the most common educational pathway of this cohort, especially for men. The second cluster differs in the respect that the vocational education on secondary level </w:t>
      </w:r>
      <w:proofErr w:type="gramStart"/>
      <w:r w:rsidR="004E1399" w:rsidRPr="00955293">
        <w:rPr>
          <w:lang w:val="en-GB"/>
        </w:rPr>
        <w:t>is followed</w:t>
      </w:r>
      <w:proofErr w:type="gramEnd"/>
      <w:r w:rsidR="004E1399" w:rsidRPr="00955293">
        <w:rPr>
          <w:lang w:val="en-GB"/>
        </w:rPr>
        <w:t xml:space="preserve"> by tertiary education, mainly at a university of applied sciences. Men also more frequently follow this educational path than women do. The third cluster is the smallest one in terms of the number of 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w:t>
      </w:r>
      <w:commentRangeStart w:id="6"/>
      <w:r w:rsidR="004E1399" w:rsidRPr="00955293">
        <w:rPr>
          <w:lang w:val="en-GB"/>
        </w:rPr>
        <w:t>education in the health care sector.</w:t>
      </w:r>
      <w:commentRangeEnd w:id="6"/>
      <w:r w:rsidR="008F240E">
        <w:rPr>
          <w:rStyle w:val="Kommentarzeichen"/>
          <w:rFonts w:asciiTheme="minorHAnsi" w:eastAsiaTheme="minorHAnsi" w:hAnsiTheme="minorHAnsi" w:cstheme="minorBidi"/>
          <w:lang w:val="en-GB"/>
        </w:rPr>
        <w:commentReference w:id="6"/>
      </w:r>
      <w:r w:rsidR="004E1399" w:rsidRPr="00955293">
        <w:rPr>
          <w:lang w:val="en-GB"/>
        </w:rPr>
        <w:t xml:space="preserve"> The final two clusters contain the trajectories starting with </w:t>
      </w:r>
      <w:r w:rsidR="008F240E">
        <w:rPr>
          <w:lang w:val="en-GB"/>
        </w:rPr>
        <w:t>general secondary education</w:t>
      </w:r>
      <w:r w:rsidR="004E1399" w:rsidRPr="00955293">
        <w:rPr>
          <w:lang w:val="en-GB"/>
        </w:rPr>
        <w:t xml:space="preserve">, followed either by university of applied sciences or by university. While the latter </w:t>
      </w:r>
      <w:proofErr w:type="gramStart"/>
      <w:r w:rsidR="004E1399" w:rsidRPr="00955293">
        <w:rPr>
          <w:lang w:val="en-GB"/>
        </w:rPr>
        <w:t>is balanced</w:t>
      </w:r>
      <w:proofErr w:type="gramEnd"/>
      <w:r w:rsidR="004E1399" w:rsidRPr="00955293">
        <w:rPr>
          <w:lang w:val="en-GB"/>
        </w:rPr>
        <w:t xml:space="preserve"> by gender, in the former, that also contains universities of teacher education, women are overrepresented.</w:t>
      </w:r>
    </w:p>
    <w:p w14:paraId="625AD96C" w14:textId="462A302A" w:rsidR="004E1399" w:rsidRPr="00955293" w:rsidRDefault="0002494D" w:rsidP="006A5BD7">
      <w:pPr>
        <w:spacing w:after="240" w:line="240" w:lineRule="auto"/>
        <w:jc w:val="both"/>
        <w:rPr>
          <w:lang w:val="en-GB"/>
        </w:rPr>
      </w:pPr>
      <w:bookmarkStart w:id="7" w:name="_Ref2080610"/>
      <w:r>
        <w:rPr>
          <w:b/>
          <w:noProof/>
          <w:lang w:val="de-CH" w:eastAsia="de-CH"/>
        </w:rPr>
        <w:lastRenderedPageBreak/>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3</w:t>
      </w:r>
      <w:r w:rsidR="004E1399" w:rsidRPr="00955293">
        <w:rPr>
          <w:b/>
          <w:lang w:val="en-GB"/>
        </w:rPr>
        <w:fldChar w:fldCharType="end"/>
      </w:r>
      <w:bookmarkEnd w:id="7"/>
      <w:r w:rsidR="004E1399" w:rsidRPr="00955293">
        <w:rPr>
          <w:b/>
          <w:lang w:val="en-GB"/>
        </w:rPr>
        <w:t>:</w:t>
      </w:r>
      <w:r w:rsidR="004E1399" w:rsidRPr="00955293">
        <w:rPr>
          <w:lang w:val="en-GB"/>
        </w:rPr>
        <w:t xml:space="preserve"> Distribution of men and women in the educational clusters</w:t>
      </w:r>
    </w:p>
    <w:p w14:paraId="525401D1" w14:textId="7D9A2CAD"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w:t>
      </w:r>
      <w:proofErr w:type="gramStart"/>
      <w:r w:rsidRPr="00955293">
        <w:rPr>
          <w:lang w:val="en-GB"/>
        </w:rPr>
        <w:t>are displayed</w:t>
      </w:r>
      <w:proofErr w:type="gramEnd"/>
      <w:r w:rsidRPr="00955293">
        <w:rPr>
          <w:lang w:val="en-GB"/>
        </w:rPr>
        <w:t xml:space="preserve">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w:t>
      </w:r>
      <w:r w:rsidR="006D028D">
        <w:rPr>
          <w:lang w:val="en-GB"/>
        </w:rPr>
        <w:t>baccalaureate</w:t>
      </w:r>
      <w:bookmarkStart w:id="8" w:name="_GoBack"/>
      <w:bookmarkEnd w:id="8"/>
      <w:r w:rsidRPr="00955293">
        <w:rPr>
          <w:lang w:val="en-GB"/>
        </w:rPr>
        <w:t xml:space="preserve"> school and enter university. We also find a moderate effect of social origin on the probability of belonging to the vocational &amp; tertiary and to the mixed academic cluster. Conversely, only the probability of belonging to the specialized secondary &amp; tertiary cluster </w:t>
      </w:r>
      <w:proofErr w:type="gramStart"/>
      <w:r w:rsidRPr="00955293">
        <w:rPr>
          <w:lang w:val="en-GB"/>
        </w:rPr>
        <w:t>is not affected</w:t>
      </w:r>
      <w:proofErr w:type="gramEnd"/>
      <w:r w:rsidRPr="00955293">
        <w:rPr>
          <w:lang w:val="en-GB"/>
        </w:rPr>
        <w:t xml:space="preserve"> by social origin. These effects </w:t>
      </w:r>
      <w:proofErr w:type="gramStart"/>
      <w:r w:rsidRPr="00955293">
        <w:rPr>
          <w:lang w:val="en-GB"/>
        </w:rPr>
        <w:t>are being mitigated</w:t>
      </w:r>
      <w:proofErr w:type="gramEnd"/>
      <w:r w:rsidRPr="00955293">
        <w:rPr>
          <w:lang w:val="en-GB"/>
        </w:rPr>
        <w:t xml:space="preserve">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72D3EEBA" w:rsidR="004E1399" w:rsidRPr="00955293" w:rsidRDefault="005D325E" w:rsidP="006A5BD7">
      <w:pPr>
        <w:spacing w:after="240" w:line="240" w:lineRule="auto"/>
        <w:jc w:val="both"/>
        <w:rPr>
          <w:lang w:val="en-GB"/>
        </w:rPr>
      </w:pPr>
      <w:bookmarkStart w:id="9" w:name="_Ref2080622"/>
      <w:r>
        <w:rPr>
          <w:b/>
          <w:noProof/>
          <w:lang w:val="de-CH" w:eastAsia="de-CH"/>
        </w:rPr>
        <w:lastRenderedPageBreak/>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4</w:t>
      </w:r>
      <w:r w:rsidR="004E1399" w:rsidRPr="00955293">
        <w:rPr>
          <w:b/>
          <w:lang w:val="en-GB"/>
        </w:rPr>
        <w:fldChar w:fldCharType="end"/>
      </w:r>
      <w:bookmarkEnd w:id="9"/>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505DB78C" w:rsidR="004E1399" w:rsidRPr="00955293" w:rsidRDefault="005D325E" w:rsidP="006A5BD7">
      <w:pPr>
        <w:spacing w:after="240" w:line="240" w:lineRule="auto"/>
        <w:jc w:val="both"/>
        <w:rPr>
          <w:lang w:val="en-GB"/>
        </w:rPr>
      </w:pPr>
      <w:bookmarkStart w:id="10"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5</w:t>
      </w:r>
      <w:r w:rsidR="004E1399" w:rsidRPr="00955293">
        <w:rPr>
          <w:b/>
          <w:lang w:val="en-GB"/>
        </w:rPr>
        <w:fldChar w:fldCharType="end"/>
      </w:r>
      <w:bookmarkEnd w:id="10"/>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w:t>
      </w:r>
      <w:proofErr w:type="gramStart"/>
      <w:r w:rsidRPr="00955293">
        <w:rPr>
          <w:lang w:val="en-GB"/>
        </w:rPr>
        <w:t>is mitigated</w:t>
      </w:r>
      <w:proofErr w:type="gramEnd"/>
      <w:r w:rsidRPr="00955293">
        <w:rPr>
          <w:lang w:val="en-GB"/>
        </w:rPr>
        <w:t xml:space="preserve"> to a certain extent when we include the clusters of educational trajectories in the model, but remains significant (right graph </w:t>
      </w:r>
      <w:r w:rsidR="004727C5">
        <w:rPr>
          <w:lang w:val="en-GB"/>
        </w:rPr>
        <w:t>of Figure 6</w:t>
      </w:r>
      <w:r w:rsidRPr="00955293">
        <w:rPr>
          <w:lang w:val="en-GB"/>
        </w:rPr>
        <w:t xml:space="preserve">). In this model, in the top range of the parental </w:t>
      </w:r>
      <w:proofErr w:type="gramStart"/>
      <w:r w:rsidRPr="00955293">
        <w:rPr>
          <w:lang w:val="en-GB"/>
        </w:rPr>
        <w:t>ISEI</w:t>
      </w:r>
      <w:proofErr w:type="gramEnd"/>
      <w:r w:rsidRPr="00955293">
        <w:rPr>
          <w:lang w:val="en-GB"/>
        </w:rPr>
        <w:t xml:space="preserve"> the effect disappears and the curve becomes flat or even turns slightly downwards for women. However, it </w:t>
      </w:r>
      <w:proofErr w:type="gramStart"/>
      <w:r w:rsidRPr="00955293">
        <w:rPr>
          <w:lang w:val="en-GB"/>
        </w:rPr>
        <w:t>must be noted</w:t>
      </w:r>
      <w:proofErr w:type="gramEnd"/>
      <w:r w:rsidRPr="00955293">
        <w:rPr>
          <w:lang w:val="en-GB"/>
        </w:rPr>
        <w:t xml:space="preserve"> that the confidence intervals at the ends of the curve become quite large.</w:t>
      </w:r>
    </w:p>
    <w:p w14:paraId="37B6BB03" w14:textId="74858DDF" w:rsidR="004E1399" w:rsidRPr="00955293" w:rsidRDefault="005D325E" w:rsidP="006A5BD7">
      <w:pPr>
        <w:spacing w:after="240" w:line="240" w:lineRule="auto"/>
        <w:jc w:val="both"/>
        <w:rPr>
          <w:iCs/>
          <w:lang w:val="en-GB"/>
        </w:rPr>
      </w:pPr>
      <w:bookmarkStart w:id="11" w:name="_Ref2080650"/>
      <w:r>
        <w:rPr>
          <w:b/>
          <w:iCs/>
          <w:noProof/>
          <w:lang w:val="de-CH" w:eastAsia="de-CH"/>
        </w:rPr>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6</w:t>
      </w:r>
      <w:r w:rsidR="004E1399" w:rsidRPr="00955293">
        <w:rPr>
          <w:b/>
          <w:lang w:val="en-GB"/>
        </w:rPr>
        <w:fldChar w:fldCharType="end"/>
      </w:r>
      <w:bookmarkEnd w:id="11"/>
      <w:r w:rsidR="004E1399" w:rsidRPr="00955293">
        <w:rPr>
          <w:b/>
          <w:iCs/>
          <w:lang w:val="en-GB"/>
        </w:rPr>
        <w:t>:</w:t>
      </w:r>
      <w:r w:rsidR="004E1399" w:rsidRPr="00955293">
        <w:rPr>
          <w:iCs/>
          <w:lang w:val="en-GB"/>
        </w:rPr>
        <w:t xml:space="preserve"> Effects on social status (ISEI) in 2014 (age ~30)</w:t>
      </w:r>
    </w:p>
    <w:p w14:paraId="78312825" w14:textId="25CF09AA" w:rsidR="004E1399" w:rsidRPr="00955293" w:rsidRDefault="004E1399" w:rsidP="006A5BD7">
      <w:pPr>
        <w:spacing w:after="240" w:line="240" w:lineRule="auto"/>
        <w:jc w:val="both"/>
        <w:rPr>
          <w:lang w:val="en-GB"/>
        </w:rPr>
      </w:pPr>
      <w:r w:rsidRPr="00955293">
        <w:rPr>
          <w:lang w:val="en-GB"/>
        </w:rPr>
        <w:lastRenderedPageBreak/>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lang w:val="en-US"/>
        </w:rPr>
        <w:t>Table</w:t>
      </w:r>
      <w:r w:rsidR="00DA61D3" w:rsidRPr="00955293">
        <w:rPr>
          <w:b/>
        </w:rPr>
        <w:t xml:space="preserve"> </w:t>
      </w:r>
      <w:r w:rsidR="00DA61D3">
        <w:rPr>
          <w:b/>
          <w:noProof/>
        </w:rPr>
        <w:t>6</w:t>
      </w:r>
      <w:r w:rsidRPr="00955293">
        <w:rPr>
          <w:lang w:val="en-GB"/>
        </w:rPr>
        <w:fldChar w:fldCharType="end"/>
      </w:r>
      <w:r w:rsidRPr="00955293">
        <w:rPr>
          <w:lang w:val="en-GB"/>
        </w:rPr>
        <w:t xml:space="preserve"> in the appendix). On the right-hand side, the direct effect, controlling for educational trajectories </w:t>
      </w:r>
      <w:proofErr w:type="gramStart"/>
      <w:r w:rsidRPr="00955293">
        <w:rPr>
          <w:lang w:val="en-GB"/>
        </w:rPr>
        <w:t>is displayed</w:t>
      </w:r>
      <w:proofErr w:type="gramEnd"/>
      <w:r w:rsidRPr="00955293">
        <w:rPr>
          <w:lang w:val="en-GB"/>
        </w:rPr>
        <w:t xml:space="preserve">.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w:t>
      </w:r>
      <w:proofErr w:type="gramStart"/>
      <w:r w:rsidRPr="00955293">
        <w:rPr>
          <w:lang w:val="en-GB"/>
        </w:rPr>
        <w:t>is controlled</w:t>
      </w:r>
      <w:proofErr w:type="gramEnd"/>
      <w:r w:rsidRPr="00955293">
        <w:rPr>
          <w:lang w:val="en-GB"/>
        </w:rPr>
        <w:t xml:space="preserve"> for. It is an open question, if this direct effect of parental social status on own social status and on the salary would entirely disappear if the horizontal class and gender segregation </w:t>
      </w:r>
      <w:proofErr w:type="gramStart"/>
      <w:r w:rsidRPr="00955293">
        <w:rPr>
          <w:lang w:val="en-GB"/>
        </w:rPr>
        <w:t>would be modelled</w:t>
      </w:r>
      <w:proofErr w:type="gramEnd"/>
      <w:r w:rsidRPr="00955293">
        <w:rPr>
          <w:lang w:val="en-GB"/>
        </w:rPr>
        <w:t xml:space="preserve"> more in detail.</w:t>
      </w:r>
    </w:p>
    <w:p w14:paraId="10DE0D47" w14:textId="15718DED" w:rsidR="004E1399" w:rsidRPr="00955293" w:rsidRDefault="005D325E" w:rsidP="006A5BD7">
      <w:pPr>
        <w:spacing w:after="240" w:line="240" w:lineRule="auto"/>
        <w:jc w:val="both"/>
        <w:rPr>
          <w:iCs/>
          <w:lang w:val="en-GB"/>
        </w:rPr>
      </w:pPr>
      <w:bookmarkStart w:id="12"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7</w:t>
      </w:r>
      <w:r w:rsidR="004E1399" w:rsidRPr="00955293">
        <w:rPr>
          <w:b/>
          <w:lang w:val="en-GB"/>
        </w:rPr>
        <w:fldChar w:fldCharType="end"/>
      </w:r>
      <w:bookmarkEnd w:id="12"/>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t xml:space="preserve">Salary differences between different educational clusters </w:t>
      </w:r>
      <w:proofErr w:type="gramStart"/>
      <w:r w:rsidR="00B91658">
        <w:rPr>
          <w:lang w:val="en-GB"/>
        </w:rPr>
        <w:t>are</w:t>
      </w:r>
      <w:r w:rsidRPr="00955293">
        <w:rPr>
          <w:lang w:val="en-GB"/>
        </w:rPr>
        <w:t xml:space="preserve"> less </w:t>
      </w:r>
      <w:r w:rsidR="00B91658">
        <w:rPr>
          <w:lang w:val="en-GB"/>
        </w:rPr>
        <w:t>pronounced</w:t>
      </w:r>
      <w:proofErr w:type="gramEnd"/>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6E7BCB69" w:rsidR="004E1399" w:rsidRPr="00955293" w:rsidRDefault="005D325E" w:rsidP="006A5BD7">
      <w:pPr>
        <w:spacing w:after="240" w:line="240" w:lineRule="auto"/>
        <w:jc w:val="both"/>
        <w:rPr>
          <w:iCs/>
          <w:lang w:val="en-GB"/>
        </w:rPr>
      </w:pPr>
      <w:bookmarkStart w:id="13" w:name="_Ref528941496"/>
      <w:r>
        <w:rPr>
          <w:b/>
          <w:iCs/>
          <w:noProof/>
          <w:lang w:val="de-CH" w:eastAsia="de-CH"/>
        </w:rPr>
        <w:lastRenderedPageBreak/>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DA61D3">
        <w:rPr>
          <w:b/>
          <w:iCs/>
          <w:noProof/>
          <w:lang w:val="en-GB"/>
        </w:rPr>
        <w:t>8</w:t>
      </w:r>
      <w:r w:rsidR="004E1399" w:rsidRPr="00955293">
        <w:rPr>
          <w:b/>
          <w:lang w:val="en-GB"/>
        </w:rPr>
        <w:fldChar w:fldCharType="end"/>
      </w:r>
      <w:bookmarkEnd w:id="13"/>
      <w:r w:rsidR="004E1399" w:rsidRPr="00955293">
        <w:rPr>
          <w:b/>
          <w:iCs/>
          <w:lang w:val="en-GB"/>
        </w:rPr>
        <w:t>:</w:t>
      </w:r>
      <w:r w:rsidR="004E1399" w:rsidRPr="00955293">
        <w:rPr>
          <w:iCs/>
          <w:lang w:val="en-GB"/>
        </w:rPr>
        <w:t xml:space="preserve"> Predicted Social Status (ISEI) by Educational Cluster</w:t>
      </w:r>
    </w:p>
    <w:p w14:paraId="51DAD972" w14:textId="3A04DA36" w:rsidR="004E1399" w:rsidRPr="00955293" w:rsidRDefault="005D325E" w:rsidP="006A5BD7">
      <w:pPr>
        <w:spacing w:after="240" w:line="240" w:lineRule="auto"/>
        <w:jc w:val="both"/>
        <w:rPr>
          <w:lang w:val="en-GB"/>
        </w:rPr>
      </w:pPr>
      <w:bookmarkStart w:id="14"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9</w:t>
      </w:r>
      <w:r w:rsidR="004E1399" w:rsidRPr="00955293">
        <w:rPr>
          <w:b/>
          <w:lang w:val="en-GB"/>
        </w:rPr>
        <w:fldChar w:fldCharType="end"/>
      </w:r>
      <w:bookmarkEnd w:id="14"/>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66DE19ED" w:rsidR="004E1399" w:rsidRPr="00955293" w:rsidRDefault="004E1399" w:rsidP="00781225">
      <w:pPr>
        <w:spacing w:before="240" w:after="240" w:line="240" w:lineRule="auto"/>
        <w:jc w:val="both"/>
        <w:rPr>
          <w:lang w:val="en-GB"/>
        </w:rPr>
      </w:pPr>
      <w:r w:rsidRPr="00955293">
        <w:rPr>
          <w:lang w:val="en-GB"/>
        </w:rPr>
        <w:t xml:space="preserve">To check the robustness of our results, we conducted some additional analyses. In particular, we sought to rule out two different sources of biases. First, while the cluster solutions found by the dynamic hamming procedure is plausible, it </w:t>
      </w:r>
      <w:proofErr w:type="gramStart"/>
      <w:r w:rsidRPr="00955293">
        <w:rPr>
          <w:lang w:val="en-GB"/>
        </w:rPr>
        <w:t>could be argued</w:t>
      </w:r>
      <w:proofErr w:type="gramEnd"/>
      <w:r w:rsidRPr="00955293">
        <w:rPr>
          <w:lang w:val="en-GB"/>
        </w:rPr>
        <w:t xml:space="preserve">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w:t>
      </w:r>
      <w:proofErr w:type="gramStart"/>
      <w:r w:rsidRPr="00955293">
        <w:rPr>
          <w:lang w:val="en-GB"/>
        </w:rPr>
        <w:t>take this into account</w:t>
      </w:r>
      <w:proofErr w:type="gramEnd"/>
      <w:r w:rsidRPr="00955293">
        <w:rPr>
          <w:lang w:val="en-GB"/>
        </w:rPr>
        <w:t xml:space="preserve">,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DA61D3" w:rsidRPr="00955293">
        <w:rPr>
          <w:b/>
        </w:rPr>
        <w:t>Table</w:t>
      </w:r>
      <w:r w:rsidR="00DA61D3" w:rsidRPr="00955293">
        <w:rPr>
          <w:b/>
          <w:lang w:val="en-GB"/>
        </w:rPr>
        <w:t xml:space="preserve"> </w:t>
      </w:r>
      <w:r w:rsidR="00DA61D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9"/>
          <w:footerReference w:type="default" r:id="rId20"/>
          <w:headerReference w:type="first" r:id="rId21"/>
          <w:footerReference w:type="first" r:id="rId22"/>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5DCE2234" w:rsidR="004E1399" w:rsidRPr="00955293" w:rsidRDefault="004E1399" w:rsidP="006A5BD7">
      <w:pPr>
        <w:spacing w:after="240" w:line="240" w:lineRule="auto"/>
        <w:jc w:val="both"/>
        <w:rPr>
          <w:lang w:val="en-US"/>
        </w:rPr>
      </w:pPr>
      <w:bookmarkStart w:id="15"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1</w:t>
      </w:r>
      <w:r w:rsidRPr="00955293">
        <w:rPr>
          <w:b/>
        </w:rPr>
        <w:fldChar w:fldCharType="end"/>
      </w:r>
      <w:bookmarkEnd w:id="15"/>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39CDA0AB" w:rsidR="004E1399" w:rsidRPr="00955293" w:rsidRDefault="004E1399" w:rsidP="006A5BD7">
      <w:pPr>
        <w:spacing w:after="240" w:line="240" w:lineRule="auto"/>
        <w:jc w:val="both"/>
        <w:rPr>
          <w:b/>
        </w:rPr>
      </w:pPr>
      <w:bookmarkStart w:id="16"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2</w:t>
      </w:r>
      <w:r w:rsidRPr="00955293">
        <w:rPr>
          <w:b/>
        </w:rPr>
        <w:fldChar w:fldCharType="end"/>
      </w:r>
      <w:bookmarkEnd w:id="16"/>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05DCE878" w:rsidR="004E1399" w:rsidRPr="00955293" w:rsidRDefault="004E1399" w:rsidP="006A5BD7">
      <w:pPr>
        <w:spacing w:after="240" w:line="240" w:lineRule="auto"/>
        <w:jc w:val="both"/>
        <w:rPr>
          <w:lang w:val="en-GB"/>
        </w:rPr>
      </w:pPr>
      <w:bookmarkStart w:id="17"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3</w:t>
      </w:r>
      <w:r w:rsidRPr="00955293">
        <w:rPr>
          <w:b/>
        </w:rPr>
        <w:fldChar w:fldCharType="end"/>
      </w:r>
      <w:bookmarkEnd w:id="17"/>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1D3B0EBC" w:rsidR="004E1399" w:rsidRPr="00955293" w:rsidRDefault="004E1399" w:rsidP="006A5BD7">
      <w:pPr>
        <w:spacing w:after="240" w:line="240" w:lineRule="auto"/>
        <w:jc w:val="both"/>
        <w:rPr>
          <w:lang w:val="en-GB"/>
        </w:rPr>
      </w:pPr>
      <w:bookmarkStart w:id="18"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4</w:t>
      </w:r>
      <w:r w:rsidRPr="00955293">
        <w:rPr>
          <w:b/>
        </w:rPr>
        <w:fldChar w:fldCharType="end"/>
      </w:r>
      <w:bookmarkEnd w:id="18"/>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3D48B5C7" w:rsidR="004E1399" w:rsidRPr="00955293" w:rsidRDefault="004E1399" w:rsidP="006A5BD7">
      <w:pPr>
        <w:spacing w:after="240" w:line="240" w:lineRule="auto"/>
        <w:jc w:val="both"/>
      </w:pPr>
      <w:bookmarkStart w:id="19"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5</w:t>
      </w:r>
      <w:r w:rsidRPr="00955293">
        <w:rPr>
          <w:b/>
        </w:rPr>
        <w:fldChar w:fldCharType="end"/>
      </w:r>
      <w:bookmarkEnd w:id="19"/>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5ACB0797" w:rsidR="004E1399" w:rsidRPr="00955293" w:rsidRDefault="004E1399" w:rsidP="006A5BD7">
      <w:pPr>
        <w:spacing w:after="240" w:line="240" w:lineRule="auto"/>
        <w:jc w:val="both"/>
        <w:rPr>
          <w:lang w:val="en-GB"/>
        </w:rPr>
      </w:pPr>
      <w:bookmarkStart w:id="20"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6</w:t>
      </w:r>
      <w:r w:rsidRPr="00955293">
        <w:rPr>
          <w:b/>
        </w:rPr>
        <w:fldChar w:fldCharType="end"/>
      </w:r>
      <w:bookmarkEnd w:id="20"/>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6A5CDB62" w:rsidR="004E1399" w:rsidRPr="00955293" w:rsidRDefault="004E1399" w:rsidP="006A5BD7">
      <w:pPr>
        <w:spacing w:after="240" w:line="240" w:lineRule="auto"/>
        <w:jc w:val="both"/>
      </w:pPr>
      <w:bookmarkStart w:id="21"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DA61D3">
        <w:rPr>
          <w:b/>
          <w:noProof/>
        </w:rPr>
        <w:t>7</w:t>
      </w:r>
      <w:r w:rsidRPr="00955293">
        <w:rPr>
          <w:b/>
        </w:rPr>
        <w:fldChar w:fldCharType="end"/>
      </w:r>
      <w:bookmarkEnd w:id="21"/>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78891484" w:rsidR="004E1399" w:rsidRPr="00955293" w:rsidRDefault="00376172" w:rsidP="006A5BD7">
      <w:pPr>
        <w:spacing w:after="240" w:line="240" w:lineRule="auto"/>
        <w:jc w:val="both"/>
        <w:rPr>
          <w:lang w:val="en-GB"/>
        </w:rPr>
      </w:pPr>
      <w:bookmarkStart w:id="22"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DA61D3">
        <w:rPr>
          <w:b/>
          <w:noProof/>
          <w:lang w:val="en-GB"/>
        </w:rPr>
        <w:t>10</w:t>
      </w:r>
      <w:r w:rsidR="004E1399" w:rsidRPr="00955293">
        <w:rPr>
          <w:b/>
          <w:lang w:val="en-GB"/>
        </w:rPr>
        <w:fldChar w:fldCharType="end"/>
      </w:r>
      <w:bookmarkEnd w:id="22"/>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63D73BA4" w:rsidR="004E1399" w:rsidRPr="00955293" w:rsidRDefault="004E1399" w:rsidP="006A5BD7">
      <w:pPr>
        <w:spacing w:after="240" w:line="240" w:lineRule="auto"/>
        <w:jc w:val="both"/>
      </w:pPr>
      <w:bookmarkStart w:id="23"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DA61D3">
        <w:rPr>
          <w:b/>
          <w:noProof/>
          <w:lang w:val="en-GB"/>
        </w:rPr>
        <w:t>8</w:t>
      </w:r>
      <w:r w:rsidRPr="00955293">
        <w:rPr>
          <w:b/>
          <w:lang w:val="en-GB"/>
        </w:rPr>
        <w:fldChar w:fldCharType="end"/>
      </w:r>
      <w:bookmarkEnd w:id="23"/>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5C8A3D60" w14:textId="77777777" w:rsidR="00A24105" w:rsidRPr="00A24105" w:rsidRDefault="00A614AD" w:rsidP="00A24105">
      <w:pPr>
        <w:pStyle w:val="EndNoteBibliography"/>
        <w:spacing w:after="0"/>
        <w:ind w:left="720" w:hanging="720"/>
      </w:pPr>
      <w:r>
        <w:fldChar w:fldCharType="begin"/>
      </w:r>
      <w:r>
        <w:instrText xml:space="preserve"> ADDIN EN.REFLIST </w:instrText>
      </w:r>
      <w:r>
        <w:fldChar w:fldCharType="separate"/>
      </w:r>
      <w:r w:rsidR="00A24105" w:rsidRPr="00A24105">
        <w:t xml:space="preserve">Adams, R., &amp; Wu, M. (2003). </w:t>
      </w:r>
      <w:r w:rsidR="00A24105" w:rsidRPr="00A24105">
        <w:rPr>
          <w:i/>
        </w:rPr>
        <w:t>PISA Programme for international student assessment (PISA) PISA 2000 technical report</w:t>
      </w:r>
      <w:r w:rsidR="00A24105" w:rsidRPr="00A24105">
        <w:t>: oecd Publishing.</w:t>
      </w:r>
    </w:p>
    <w:p w14:paraId="3C3EC101" w14:textId="77777777" w:rsidR="00A24105" w:rsidRPr="0077567C" w:rsidRDefault="00A24105" w:rsidP="00A24105">
      <w:pPr>
        <w:pStyle w:val="EndNoteBibliography"/>
        <w:spacing w:after="0"/>
        <w:ind w:left="720" w:hanging="720"/>
        <w:rPr>
          <w:lang w:val="de-CH"/>
        </w:rPr>
      </w:pPr>
      <w:r w:rsidRPr="00A24105">
        <w:t xml:space="preserve">Allmendinger, J., Ebner, C., &amp; Nikolai, R. (2010). </w:t>
      </w:r>
      <w:r w:rsidRPr="0077567C">
        <w:rPr>
          <w:lang w:val="de-CH"/>
        </w:rPr>
        <w:t xml:space="preserve">Soziologische Bildungsforschung. In R. Tippelt &amp; B. Schmidt (Eds.), </w:t>
      </w:r>
      <w:r w:rsidRPr="0077567C">
        <w:rPr>
          <w:i/>
          <w:lang w:val="de-CH"/>
        </w:rPr>
        <w:t>Handbuch Bildungsforschung</w:t>
      </w:r>
      <w:r w:rsidRPr="0077567C">
        <w:rPr>
          <w:lang w:val="de-CH"/>
        </w:rPr>
        <w:t xml:space="preserve"> (3. ed., pp. 1058). Wiesbaden: VS Verlag für Sozialwissenschaften | Springer Fachmedien.</w:t>
      </w:r>
    </w:p>
    <w:p w14:paraId="02455FDA" w14:textId="77777777" w:rsidR="00A24105" w:rsidRPr="0077567C" w:rsidRDefault="00A24105" w:rsidP="00A24105">
      <w:pPr>
        <w:pStyle w:val="EndNoteBibliography"/>
        <w:spacing w:after="0"/>
        <w:ind w:left="720" w:hanging="720"/>
        <w:rPr>
          <w:lang w:val="de-CH"/>
        </w:rPr>
      </w:pPr>
      <w:r w:rsidRPr="0077567C">
        <w:rPr>
          <w:lang w:val="de-CH"/>
        </w:rPr>
        <w:t xml:space="preserve">Becker, R. (2007). „Das katholische Arbeitermädchen vom Lande“ – Ist die Bildungspolitik ein Opfer einer bildungssoziologischen Legende geworden? In C. Crotti, P. Gonon, &amp; W. Herzog (Eds.), </w:t>
      </w:r>
      <w:r w:rsidRPr="0077567C">
        <w:rPr>
          <w:i/>
          <w:lang w:val="de-CH"/>
        </w:rPr>
        <w:t>Pädagogik und Politik: historische und aktuelle Perspektiven: Festschrift für Fritz Osterwalder</w:t>
      </w:r>
      <w:r w:rsidRPr="0077567C">
        <w:rPr>
          <w:lang w:val="de-CH"/>
        </w:rPr>
        <w:t xml:space="preserve"> (pp. 386). Bern Stuttgart Wien: Haupt Verlag.</w:t>
      </w:r>
    </w:p>
    <w:p w14:paraId="34BC445A" w14:textId="77777777" w:rsidR="00A24105" w:rsidRPr="0077567C" w:rsidRDefault="00A24105" w:rsidP="00A24105">
      <w:pPr>
        <w:pStyle w:val="EndNoteBibliography"/>
        <w:spacing w:after="0"/>
        <w:ind w:left="720" w:hanging="720"/>
        <w:rPr>
          <w:lang w:val="de-CH"/>
        </w:rPr>
      </w:pPr>
      <w:r w:rsidRPr="0077567C">
        <w:rPr>
          <w:lang w:val="de-CH"/>
        </w:rPr>
        <w:t xml:space="preserve">Becker, R., Haunberger, S., &amp; Schubert, F. (2010). Studienfachwahl als Spezialfall der Ausbildungsentscheidung und Berufswahl. </w:t>
      </w:r>
      <w:r w:rsidRPr="0077567C">
        <w:rPr>
          <w:i/>
          <w:lang w:val="de-CH"/>
        </w:rPr>
        <w:t>Zeitschrift für Arbeitsmarktforschung, 42</w:t>
      </w:r>
      <w:r w:rsidRPr="0077567C">
        <w:rPr>
          <w:lang w:val="de-CH"/>
        </w:rPr>
        <w:t xml:space="preserve">(4), 292-310. </w:t>
      </w:r>
    </w:p>
    <w:p w14:paraId="3A696BD0" w14:textId="77777777" w:rsidR="00A24105" w:rsidRPr="0077567C" w:rsidRDefault="00A24105" w:rsidP="00A24105">
      <w:pPr>
        <w:pStyle w:val="EndNoteBibliography"/>
        <w:spacing w:after="0"/>
        <w:ind w:left="720" w:hanging="720"/>
        <w:rPr>
          <w:lang w:val="de-CH"/>
        </w:rPr>
      </w:pPr>
      <w:r w:rsidRPr="0077567C">
        <w:rPr>
          <w:lang w:val="de-CH"/>
        </w:rPr>
        <w:t xml:space="preserve">Becker, R., &amp; Lauterbach, W. (2010). </w:t>
      </w:r>
      <w:r w:rsidRPr="0077567C">
        <w:rPr>
          <w:i/>
          <w:lang w:val="de-CH"/>
        </w:rPr>
        <w:t>Bildung als Privileg: Erklärungen und Befunde zu den Ursachen der Bildungsungleichheit</w:t>
      </w:r>
      <w:r w:rsidRPr="0077567C">
        <w:rPr>
          <w:lang w:val="de-CH"/>
        </w:rPr>
        <w:t xml:space="preserve"> (4. ed.). Wiesbaden: VS Verlag für Sozialwissenschaften.</w:t>
      </w:r>
    </w:p>
    <w:p w14:paraId="76574777" w14:textId="77777777" w:rsidR="00A24105" w:rsidRPr="0077567C" w:rsidRDefault="00A24105" w:rsidP="00A24105">
      <w:pPr>
        <w:pStyle w:val="EndNoteBibliography"/>
        <w:spacing w:after="0"/>
        <w:ind w:left="720" w:hanging="720"/>
        <w:rPr>
          <w:lang w:val="de-CH"/>
        </w:rPr>
      </w:pPr>
      <w:r w:rsidRPr="0077567C">
        <w:rPr>
          <w:lang w:val="de-CH"/>
        </w:rPr>
        <w:t xml:space="preserve">Becker, R., &amp; Müller, W. (2011). Bildungsungleichheiten nach Geschlecht und Herkunft im Wandel. In A. Hadjar (Ed.), </w:t>
      </w:r>
      <w:r w:rsidRPr="0077567C">
        <w:rPr>
          <w:i/>
          <w:lang w:val="de-CH"/>
        </w:rPr>
        <w:t>Geschlechtsspezifische Bildungsungleichheiten</w:t>
      </w:r>
      <w:r w:rsidRPr="0077567C">
        <w:rPr>
          <w:lang w:val="de-CH"/>
        </w:rPr>
        <w:t xml:space="preserve"> (pp. 253). Wiesbaden: VS Verlag für Sozialwissenschaften.</w:t>
      </w:r>
    </w:p>
    <w:p w14:paraId="5D42243D" w14:textId="77777777" w:rsidR="00A24105" w:rsidRPr="00A24105" w:rsidRDefault="00A24105" w:rsidP="00A24105">
      <w:pPr>
        <w:pStyle w:val="EndNoteBibliography"/>
        <w:spacing w:after="0"/>
        <w:ind w:left="720" w:hanging="720"/>
      </w:pPr>
      <w:r w:rsidRPr="0077567C">
        <w:rPr>
          <w:lang w:val="de-CH"/>
        </w:rPr>
        <w:t xml:space="preserve">Blau, F. D., &amp; Kahn, L. M. (2017). </w:t>
      </w:r>
      <w:r w:rsidRPr="00A24105">
        <w:t xml:space="preserve">The gender Wage Gap: Extent, Trends, and Explanations. </w:t>
      </w:r>
      <w:r w:rsidRPr="00A24105">
        <w:rPr>
          <w:i/>
        </w:rPr>
        <w:t>Journal of Economic Literature, 55</w:t>
      </w:r>
      <w:r w:rsidRPr="00A24105">
        <w:t xml:space="preserve">(3), 789-865. </w:t>
      </w:r>
    </w:p>
    <w:p w14:paraId="18910D1D" w14:textId="77777777" w:rsidR="00A24105" w:rsidRPr="0077567C" w:rsidRDefault="00A24105" w:rsidP="00A24105">
      <w:pPr>
        <w:pStyle w:val="EndNoteBibliography"/>
        <w:spacing w:after="0"/>
        <w:ind w:left="720" w:hanging="720"/>
        <w:rPr>
          <w:lang w:val="de-CH"/>
        </w:rPr>
      </w:pPr>
      <w:r w:rsidRPr="00A24105">
        <w:t xml:space="preserve">Boudon, R. (1974). </w:t>
      </w:r>
      <w:r w:rsidRPr="00A24105">
        <w:rPr>
          <w:i/>
        </w:rPr>
        <w:t>Education, opportunity and social inequality: changing prospects in western society</w:t>
      </w:r>
      <w:r w:rsidRPr="00A24105">
        <w:t xml:space="preserve">. </w:t>
      </w:r>
      <w:r w:rsidRPr="0077567C">
        <w:rPr>
          <w:lang w:val="de-CH"/>
        </w:rPr>
        <w:t>New York: John Wiley &amp; Sons Inc.</w:t>
      </w:r>
    </w:p>
    <w:p w14:paraId="0DC1BBE6" w14:textId="77777777" w:rsidR="00A24105" w:rsidRPr="00A24105" w:rsidRDefault="00A24105" w:rsidP="00A24105">
      <w:pPr>
        <w:pStyle w:val="EndNoteBibliography"/>
        <w:spacing w:after="0"/>
        <w:ind w:left="720" w:hanging="720"/>
      </w:pPr>
      <w:r w:rsidRPr="0077567C">
        <w:rPr>
          <w:lang w:val="de-CH"/>
        </w:rPr>
        <w:t xml:space="preserve">Bourdieu, P., &amp; Passeron, J.-C. (1971). </w:t>
      </w:r>
      <w:r w:rsidRPr="0077567C">
        <w:rPr>
          <w:i/>
          <w:lang w:val="de-CH"/>
        </w:rPr>
        <w:t>Die Illusion der Chancengleichheit: Untersuchungen zur Soziologie des Bildungswesens am Beispiel Frankreichs</w:t>
      </w:r>
      <w:r w:rsidRPr="0077567C">
        <w:rPr>
          <w:lang w:val="de-CH"/>
        </w:rPr>
        <w:t xml:space="preserve">. </w:t>
      </w:r>
      <w:r w:rsidRPr="00A24105">
        <w:t>Stuttgart: Klett.</w:t>
      </w:r>
    </w:p>
    <w:p w14:paraId="26719CF3" w14:textId="77777777" w:rsidR="00A24105" w:rsidRPr="00A24105" w:rsidRDefault="00A24105" w:rsidP="00A24105">
      <w:pPr>
        <w:pStyle w:val="EndNoteBibliography"/>
        <w:spacing w:after="0"/>
        <w:ind w:left="720" w:hanging="720"/>
      </w:pPr>
      <w:r w:rsidRPr="00A24105">
        <w:t xml:space="preserve">Breen, R., &amp; Goldthorpe, J. H. (1997). Explaining educational differentials towards a formal rational action theory. </w:t>
      </w:r>
      <w:r w:rsidRPr="00A24105">
        <w:rPr>
          <w:i/>
        </w:rPr>
        <w:t>Rationality and society, 9</w:t>
      </w:r>
      <w:r w:rsidRPr="00A24105">
        <w:t xml:space="preserve">(3), 275-305. </w:t>
      </w:r>
    </w:p>
    <w:p w14:paraId="50FB5C59" w14:textId="77777777" w:rsidR="00A24105" w:rsidRPr="00A24105" w:rsidRDefault="00A24105" w:rsidP="00A24105">
      <w:pPr>
        <w:pStyle w:val="EndNoteBibliography"/>
        <w:spacing w:after="0"/>
        <w:ind w:left="720" w:hanging="720"/>
      </w:pPr>
      <w:r w:rsidRPr="00A24105">
        <w:t xml:space="preserve">Breen, R., Luijkx, R., Müller, W., &amp; Pollak, R. (2009). Long-term trends in educational inequality in Europe: Class inequalities and gender differences. </w:t>
      </w:r>
      <w:r w:rsidRPr="00A24105">
        <w:rPr>
          <w:i/>
        </w:rPr>
        <w:t>European Sociological Review, 26</w:t>
      </w:r>
      <w:r w:rsidRPr="00A24105">
        <w:t xml:space="preserve">(1), 31-48. </w:t>
      </w:r>
    </w:p>
    <w:p w14:paraId="22C7781E" w14:textId="77777777" w:rsidR="00A24105" w:rsidRPr="00A24105" w:rsidRDefault="00A24105" w:rsidP="00A24105">
      <w:pPr>
        <w:pStyle w:val="EndNoteBibliography"/>
        <w:spacing w:after="0"/>
        <w:ind w:left="720" w:hanging="720"/>
      </w:pPr>
      <w:r w:rsidRPr="00A24105">
        <w:t xml:space="preserve">Brzinsky-Fay, C., &amp; Kohler, U. (2010). New developments in sequence analysis. </w:t>
      </w:r>
      <w:r w:rsidRPr="00A24105">
        <w:rPr>
          <w:i/>
        </w:rPr>
        <w:t>Sociological Methods &amp; Research, 38</w:t>
      </w:r>
      <w:r w:rsidRPr="00A24105">
        <w:t xml:space="preserve">(3), 359-364. </w:t>
      </w:r>
    </w:p>
    <w:p w14:paraId="1FEB869C" w14:textId="77777777" w:rsidR="00A24105" w:rsidRPr="0077567C" w:rsidRDefault="00A24105" w:rsidP="00A24105">
      <w:pPr>
        <w:pStyle w:val="EndNoteBibliography"/>
        <w:spacing w:after="0"/>
        <w:ind w:left="720" w:hanging="720"/>
        <w:rPr>
          <w:lang w:val="de-CH"/>
        </w:rPr>
      </w:pPr>
      <w:r w:rsidRPr="00A24105">
        <w:t xml:space="preserve">Buchmann, C., &amp; DiPrete, T. A. (2006). The growing female advantage in college completion: the role of family background and academic achievement. </w:t>
      </w:r>
      <w:r w:rsidRPr="0077567C">
        <w:rPr>
          <w:i/>
          <w:lang w:val="de-CH"/>
        </w:rPr>
        <w:t>American Sociological Review, 71</w:t>
      </w:r>
      <w:r w:rsidRPr="0077567C">
        <w:rPr>
          <w:lang w:val="de-CH"/>
        </w:rPr>
        <w:t xml:space="preserve">(4), 515-541. </w:t>
      </w:r>
    </w:p>
    <w:p w14:paraId="377EBB7A" w14:textId="77777777" w:rsidR="00A24105" w:rsidRPr="00A24105" w:rsidRDefault="00A24105" w:rsidP="00A24105">
      <w:pPr>
        <w:pStyle w:val="EndNoteBibliography"/>
        <w:spacing w:after="0"/>
        <w:ind w:left="720" w:hanging="720"/>
      </w:pPr>
      <w:r w:rsidRPr="0077567C">
        <w:rPr>
          <w:lang w:val="de-CH"/>
        </w:rPr>
        <w:t xml:space="preserve">Buchmann, M., &amp; Kriesi, I. (2012). Geschlechtstypische Berufswahl: Begabungszuschreibungen, Aspirationen und Institutionen. </w:t>
      </w:r>
      <w:r w:rsidRPr="00A24105">
        <w:t xml:space="preserve">In </w:t>
      </w:r>
      <w:r w:rsidRPr="00A24105">
        <w:rPr>
          <w:i/>
        </w:rPr>
        <w:t>Soziologische Bildungsforschung</w:t>
      </w:r>
      <w:r w:rsidRPr="00A24105">
        <w:t xml:space="preserve"> (pp. 256-280): Springer.</w:t>
      </w:r>
    </w:p>
    <w:p w14:paraId="3B828921" w14:textId="77777777" w:rsidR="00A24105" w:rsidRPr="00A24105" w:rsidRDefault="00A24105" w:rsidP="00A24105">
      <w:pPr>
        <w:pStyle w:val="EndNoteBibliography"/>
        <w:spacing w:after="0"/>
        <w:ind w:left="720" w:hanging="720"/>
      </w:pPr>
      <w:r w:rsidRPr="00A24105">
        <w:lastRenderedPageBreak/>
        <w:t xml:space="preserve">Charles, M. (2011). A world of difference: international trends in women’s economic status. </w:t>
      </w:r>
      <w:r w:rsidRPr="00A24105">
        <w:rPr>
          <w:i/>
        </w:rPr>
        <w:t>Annual Review of Sociology, 37</w:t>
      </w:r>
      <w:r w:rsidRPr="00A24105">
        <w:t xml:space="preserve">, 355-371. </w:t>
      </w:r>
    </w:p>
    <w:p w14:paraId="6BC0A34D" w14:textId="77777777" w:rsidR="00A24105" w:rsidRPr="00A24105" w:rsidRDefault="00A24105" w:rsidP="00A24105">
      <w:pPr>
        <w:pStyle w:val="EndNoteBibliography"/>
        <w:spacing w:after="0"/>
        <w:ind w:left="720" w:hanging="720"/>
      </w:pPr>
      <w:r w:rsidRPr="00A24105">
        <w:t xml:space="preserve">Charles, M., &amp; Bradley, K. (2009). Indulging our gendered selves? Sex segregation by field of study in 44 countries. </w:t>
      </w:r>
      <w:r w:rsidRPr="00A24105">
        <w:rPr>
          <w:i/>
        </w:rPr>
        <w:t>American Journal of Sociology, 114</w:t>
      </w:r>
      <w:r w:rsidRPr="00A24105">
        <w:t xml:space="preserve">(4), 924-976. </w:t>
      </w:r>
    </w:p>
    <w:p w14:paraId="0589BEB0" w14:textId="77777777" w:rsidR="00A24105" w:rsidRPr="00A24105" w:rsidRDefault="00A24105" w:rsidP="00A24105">
      <w:pPr>
        <w:pStyle w:val="EndNoteBibliography"/>
        <w:spacing w:after="0"/>
        <w:ind w:left="720" w:hanging="720"/>
      </w:pPr>
      <w:r w:rsidRPr="0077567C">
        <w:rPr>
          <w:lang w:val="de-CH"/>
        </w:rPr>
        <w:t xml:space="preserve">Dahrendorf, R. (1965). </w:t>
      </w:r>
      <w:r w:rsidRPr="0077567C">
        <w:rPr>
          <w:i/>
          <w:lang w:val="de-CH"/>
        </w:rPr>
        <w:t>Bildung ist Bürgerrecht: Plädoyer für eine aktive Bildungspolitik</w:t>
      </w:r>
      <w:r w:rsidRPr="0077567C">
        <w:rPr>
          <w:lang w:val="de-CH"/>
        </w:rPr>
        <w:t xml:space="preserve">. </w:t>
      </w:r>
      <w:r w:rsidRPr="00A24105">
        <w:t>Hamburg: Rohwolt.</w:t>
      </w:r>
    </w:p>
    <w:p w14:paraId="33FA0575" w14:textId="77777777" w:rsidR="00A24105" w:rsidRPr="00A24105" w:rsidRDefault="00A24105" w:rsidP="00A24105">
      <w:pPr>
        <w:pStyle w:val="EndNoteBibliography"/>
        <w:spacing w:after="0"/>
        <w:ind w:left="720" w:hanging="720"/>
      </w:pPr>
      <w:r w:rsidRPr="00A24105">
        <w:t xml:space="preserve">DiPrete, T. A., &amp; Buchmann, C. (2013). </w:t>
      </w:r>
      <w:r w:rsidRPr="00A24105">
        <w:rPr>
          <w:i/>
        </w:rPr>
        <w:t>The Rise of Women: The Growing Gender Gap in Education and what it Means for American Schools</w:t>
      </w:r>
      <w:r w:rsidRPr="00A24105">
        <w:t>: Russell Sage Foundation.</w:t>
      </w:r>
    </w:p>
    <w:p w14:paraId="0486CBB7" w14:textId="77777777" w:rsidR="00A24105" w:rsidRPr="00A24105" w:rsidRDefault="00A24105" w:rsidP="00A24105">
      <w:pPr>
        <w:pStyle w:val="EndNoteBibliography"/>
        <w:spacing w:after="0"/>
        <w:ind w:left="720" w:hanging="720"/>
      </w:pPr>
      <w:r w:rsidRPr="00A24105">
        <w:t xml:space="preserve">Eagly, A. H., &amp; Diekman, A. B. (2006). What is the Problem? Prejudice as an Attitude-in-Context. In J. F. Dovidio, P. Glick, &amp; L. A. Rudman (Eds.), </w:t>
      </w:r>
      <w:r w:rsidRPr="00A24105">
        <w:rPr>
          <w:i/>
        </w:rPr>
        <w:t>On the Nature of Prejudice: Fifty Years after Allport</w:t>
      </w:r>
      <w:r w:rsidRPr="00A24105">
        <w:t xml:space="preserve"> (pp. 19-35). Malden, Oxford, Carlton: Blackwell Publishing.</w:t>
      </w:r>
    </w:p>
    <w:p w14:paraId="7227A4CA" w14:textId="77777777" w:rsidR="00A24105" w:rsidRPr="00A24105" w:rsidRDefault="00A24105" w:rsidP="00A24105">
      <w:pPr>
        <w:pStyle w:val="EndNoteBibliography"/>
        <w:spacing w:after="0"/>
        <w:ind w:left="720" w:hanging="720"/>
      </w:pPr>
      <w:r w:rsidRPr="00A24105">
        <w:t xml:space="preserve">Eagly, A. H., &amp; Karau, S. J. (2002). Role Congruity Theory of Prejudice Toward Female Leaders. </w:t>
      </w:r>
      <w:r w:rsidRPr="00A24105">
        <w:rPr>
          <w:i/>
        </w:rPr>
        <w:t>Psychological review, 109</w:t>
      </w:r>
      <w:r w:rsidRPr="00A24105">
        <w:t xml:space="preserve">(3), 573. </w:t>
      </w:r>
    </w:p>
    <w:p w14:paraId="53DA4C79" w14:textId="77777777" w:rsidR="00A24105" w:rsidRPr="00A24105" w:rsidRDefault="00A24105" w:rsidP="00A24105">
      <w:pPr>
        <w:pStyle w:val="EndNoteBibliography"/>
        <w:spacing w:after="0"/>
        <w:ind w:left="720" w:hanging="720"/>
      </w:pPr>
      <w:r w:rsidRPr="00A24105">
        <w:t xml:space="preserve">Eagly, A. H., &amp; Sczesny, S. (2008). Stereotypes about women, men and leaders: Have time changed? In M. K. Barreto, M. K. Ryan, &amp; M. T. Schmitt (Eds.), </w:t>
      </w:r>
      <w:r w:rsidRPr="00A24105">
        <w:rPr>
          <w:i/>
        </w:rPr>
        <w:t>The glass ceiling in the 21st century: Understanding barriers to gender equality</w:t>
      </w:r>
      <w:r w:rsidRPr="00A24105">
        <w:t xml:space="preserve"> (pp. 21‐47). Washington: American Psychological Association.</w:t>
      </w:r>
    </w:p>
    <w:p w14:paraId="41BA8F98" w14:textId="77777777" w:rsidR="00A24105" w:rsidRPr="00A24105" w:rsidRDefault="00A24105" w:rsidP="00A24105">
      <w:pPr>
        <w:pStyle w:val="EndNoteBibliography"/>
        <w:spacing w:after="0"/>
        <w:ind w:left="720" w:hanging="720"/>
      </w:pPr>
      <w:r w:rsidRPr="00A24105">
        <w:t xml:space="preserve">England, P. (2010). The gender revolution uneven and stalled. </w:t>
      </w:r>
      <w:r w:rsidRPr="00A24105">
        <w:rPr>
          <w:i/>
        </w:rPr>
        <w:t>Gender &amp; Society, 24</w:t>
      </w:r>
      <w:r w:rsidRPr="00A24105">
        <w:t xml:space="preserve">(2), 149-166. </w:t>
      </w:r>
    </w:p>
    <w:p w14:paraId="76A9F246" w14:textId="77777777" w:rsidR="00A24105" w:rsidRPr="00A24105" w:rsidRDefault="00A24105" w:rsidP="00A24105">
      <w:pPr>
        <w:pStyle w:val="EndNoteBibliography"/>
        <w:spacing w:after="0"/>
        <w:ind w:left="720" w:hanging="720"/>
      </w:pPr>
      <w:r w:rsidRPr="00A24105">
        <w:t xml:space="preserve">Entwisle, D. R., Alexander, K. L., &amp; Olson, L. S. (2007). Early schooling: the handicap of being poor and male. </w:t>
      </w:r>
      <w:r w:rsidRPr="00A24105">
        <w:rPr>
          <w:i/>
        </w:rPr>
        <w:t>Sociology of Education, 80</w:t>
      </w:r>
      <w:r w:rsidRPr="00A24105">
        <w:t xml:space="preserve">(2), 114-138. </w:t>
      </w:r>
    </w:p>
    <w:p w14:paraId="1D3E0717" w14:textId="77777777" w:rsidR="00A24105" w:rsidRPr="00A24105" w:rsidRDefault="00A24105" w:rsidP="00A24105">
      <w:pPr>
        <w:pStyle w:val="EndNoteBibliography"/>
        <w:spacing w:after="0"/>
        <w:ind w:left="720" w:hanging="720"/>
      </w:pPr>
      <w:r w:rsidRPr="00A24105">
        <w:t xml:space="preserve">Erikson, R., &amp; Jonsson, J. O. (1996). </w:t>
      </w:r>
      <w:r w:rsidRPr="00A24105">
        <w:rPr>
          <w:i/>
        </w:rPr>
        <w:t>Can education be equalized? The Swedish case in comparative perspective</w:t>
      </w:r>
      <w:r w:rsidRPr="00A24105">
        <w:t>: Westview Press.</w:t>
      </w:r>
    </w:p>
    <w:p w14:paraId="5BDA2785" w14:textId="77777777" w:rsidR="00A24105" w:rsidRPr="00A24105" w:rsidRDefault="00A24105" w:rsidP="00A24105">
      <w:pPr>
        <w:pStyle w:val="EndNoteBibliography"/>
        <w:spacing w:after="0"/>
        <w:ind w:left="720" w:hanging="720"/>
      </w:pPr>
      <w:r w:rsidRPr="00A24105">
        <w:t xml:space="preserve">Geißler, R. (2005). </w:t>
      </w:r>
      <w:r w:rsidRPr="0077567C">
        <w:rPr>
          <w:lang w:val="de-CH"/>
        </w:rPr>
        <w:t xml:space="preserve">Die Metamorphose der Arbeitertochter zum Migrantensohn. Zum Wandel der Chancenstruktur im Bildungssystem nach Schicht, Geschlecht, Ethnie und deren Verknüpfungen. In P. A. Berger (Ed.), </w:t>
      </w:r>
      <w:r w:rsidRPr="0077567C">
        <w:rPr>
          <w:i/>
          <w:lang w:val="de-CH"/>
        </w:rPr>
        <w:t>Institutionalisierte Ungleichheiten: wie das Bildungswesen Chancen blockiert</w:t>
      </w:r>
      <w:r w:rsidRPr="0077567C">
        <w:rPr>
          <w:lang w:val="de-CH"/>
        </w:rPr>
        <w:t xml:space="preserve"> (pp. 256). </w:t>
      </w:r>
      <w:r w:rsidRPr="00A24105">
        <w:t>Weinheim und München: Juventa.</w:t>
      </w:r>
    </w:p>
    <w:p w14:paraId="69DBCD27" w14:textId="77777777" w:rsidR="00A24105" w:rsidRPr="0077567C" w:rsidRDefault="00A24105" w:rsidP="00A24105">
      <w:pPr>
        <w:pStyle w:val="EndNoteBibliography"/>
        <w:spacing w:after="0"/>
        <w:ind w:left="720" w:hanging="720"/>
        <w:rPr>
          <w:lang w:val="de-CH"/>
        </w:rPr>
      </w:pPr>
      <w:r w:rsidRPr="00A24105">
        <w:t xml:space="preserve">Glaesser, J., &amp; Cooper, B. (2012). Gender, parental education, and ability: their interacting roles in predicting GCSE success. </w:t>
      </w:r>
      <w:r w:rsidRPr="0077567C">
        <w:rPr>
          <w:i/>
          <w:lang w:val="de-CH"/>
        </w:rPr>
        <w:t>Cambridge Journal of Education, 42</w:t>
      </w:r>
      <w:r w:rsidRPr="0077567C">
        <w:rPr>
          <w:lang w:val="de-CH"/>
        </w:rPr>
        <w:t xml:space="preserve">(4), 463-480. </w:t>
      </w:r>
    </w:p>
    <w:p w14:paraId="067A5BB4" w14:textId="77777777" w:rsidR="00A24105" w:rsidRPr="0077567C" w:rsidRDefault="00A24105" w:rsidP="00A24105">
      <w:pPr>
        <w:pStyle w:val="EndNoteBibliography"/>
        <w:spacing w:after="0"/>
        <w:ind w:left="720" w:hanging="720"/>
        <w:rPr>
          <w:lang w:val="de-CH"/>
        </w:rPr>
      </w:pPr>
      <w:r w:rsidRPr="0077567C">
        <w:rPr>
          <w:lang w:val="de-CH"/>
        </w:rPr>
        <w:t xml:space="preserve">Glauser, D. (2015). </w:t>
      </w:r>
      <w:r w:rsidRPr="0077567C">
        <w:rPr>
          <w:i/>
          <w:lang w:val="de-CH"/>
        </w:rPr>
        <w:t>Berufsausbildung oder Allgemeinbildung: soziale Ungleichheiten beim Übergang in die Sekundarstufe II in der Schweiz</w:t>
      </w:r>
      <w:r w:rsidRPr="0077567C">
        <w:rPr>
          <w:lang w:val="de-CH"/>
        </w:rPr>
        <w:t>.</w:t>
      </w:r>
    </w:p>
    <w:p w14:paraId="2CF85E78" w14:textId="77777777" w:rsidR="00A24105" w:rsidRPr="0077567C" w:rsidRDefault="00A24105" w:rsidP="00A24105">
      <w:pPr>
        <w:pStyle w:val="EndNoteBibliography"/>
        <w:spacing w:after="0"/>
        <w:ind w:left="720" w:hanging="720"/>
        <w:rPr>
          <w:lang w:val="de-CH"/>
        </w:rPr>
      </w:pPr>
      <w:r w:rsidRPr="0077567C">
        <w:rPr>
          <w:lang w:val="de-CH"/>
        </w:rPr>
        <w:t xml:space="preserve">Gomensoro, A., Meyer, T., Hupka-Brunner, S., Jann, B., Müller, B., Oesch, D., . . . </w:t>
      </w:r>
      <w:r w:rsidRPr="00A24105">
        <w:t xml:space="preserve">Scharenberg, K. (2017). </w:t>
      </w:r>
      <w:r w:rsidRPr="00A24105">
        <w:rPr>
          <w:i/>
        </w:rPr>
        <w:t>Employment Situation at Age Thirty. Results Update of the Swiss Panel Survey TREE</w:t>
      </w:r>
      <w:r w:rsidRPr="00A24105">
        <w:t xml:space="preserve">. </w:t>
      </w:r>
      <w:r w:rsidRPr="0077567C">
        <w:rPr>
          <w:lang w:val="de-CH"/>
        </w:rPr>
        <w:t xml:space="preserve">Retrieved from </w:t>
      </w:r>
    </w:p>
    <w:p w14:paraId="306C9780" w14:textId="77777777" w:rsidR="00A24105" w:rsidRPr="0077567C" w:rsidRDefault="00A24105" w:rsidP="00A24105">
      <w:pPr>
        <w:pStyle w:val="EndNoteBibliography"/>
        <w:spacing w:after="0"/>
        <w:ind w:left="720" w:hanging="720"/>
        <w:rPr>
          <w:lang w:val="de-CH"/>
        </w:rPr>
      </w:pPr>
      <w:r w:rsidRPr="0077567C">
        <w:rPr>
          <w:lang w:val="de-CH"/>
        </w:rPr>
        <w:t xml:space="preserve">Gottburgsen, A., &amp; Gross, C. (2012). Welchen Beitrag leistet „Intersektionalität“ zur Klärung von Kompetenzunterschieden bei Jugendlichen? In R. Becker &amp; H. Solga (Eds.), </w:t>
      </w:r>
      <w:r w:rsidRPr="0077567C">
        <w:rPr>
          <w:i/>
          <w:lang w:val="de-CH"/>
        </w:rPr>
        <w:t>Soziologische Bildungsforschung</w:t>
      </w:r>
      <w:r w:rsidRPr="0077567C">
        <w:rPr>
          <w:lang w:val="de-CH"/>
        </w:rPr>
        <w:t xml:space="preserve"> (pp. 503).</w:t>
      </w:r>
    </w:p>
    <w:p w14:paraId="4C83E58A" w14:textId="77777777" w:rsidR="00A24105" w:rsidRPr="00A24105" w:rsidRDefault="00A24105" w:rsidP="00A24105">
      <w:pPr>
        <w:pStyle w:val="EndNoteBibliography"/>
        <w:spacing w:after="0"/>
        <w:ind w:left="720" w:hanging="720"/>
      </w:pPr>
      <w:r w:rsidRPr="0077567C">
        <w:rPr>
          <w:lang w:val="de-CH"/>
        </w:rPr>
        <w:t xml:space="preserve">Halpin, B. (2010). </w:t>
      </w:r>
      <w:r w:rsidRPr="00A24105">
        <w:t xml:space="preserve">Optimal matching analysis and life-course data: the importance of duration. </w:t>
      </w:r>
      <w:r w:rsidRPr="00A24105">
        <w:rPr>
          <w:i/>
        </w:rPr>
        <w:t>Sociological Methods &amp; Research, 38</w:t>
      </w:r>
      <w:r w:rsidRPr="00A24105">
        <w:t xml:space="preserve">(3), 365-388. </w:t>
      </w:r>
    </w:p>
    <w:p w14:paraId="423D3545" w14:textId="77777777" w:rsidR="00A24105" w:rsidRPr="00A24105" w:rsidRDefault="00A24105" w:rsidP="00A24105">
      <w:pPr>
        <w:pStyle w:val="EndNoteBibliography"/>
        <w:spacing w:after="0"/>
        <w:ind w:left="720" w:hanging="720"/>
      </w:pPr>
      <w:r w:rsidRPr="00A24105">
        <w:t xml:space="preserve">Halpin, B. (2017). SADI: Sequence analysis tools for Stata. </w:t>
      </w:r>
      <w:r w:rsidRPr="00A24105">
        <w:rPr>
          <w:i/>
        </w:rPr>
        <w:t>Stata Journal, 17</w:t>
      </w:r>
      <w:r w:rsidRPr="00A24105">
        <w:t xml:space="preserve">(3), 546-572. </w:t>
      </w:r>
    </w:p>
    <w:p w14:paraId="3FA6AF0A" w14:textId="77777777" w:rsidR="00A24105" w:rsidRPr="0077567C" w:rsidRDefault="00A24105" w:rsidP="00A24105">
      <w:pPr>
        <w:pStyle w:val="EndNoteBibliography"/>
        <w:spacing w:after="0"/>
        <w:ind w:left="720" w:hanging="720"/>
        <w:rPr>
          <w:lang w:val="de-CH"/>
        </w:rPr>
      </w:pPr>
      <w:r w:rsidRPr="00A24105">
        <w:t xml:space="preserve">Imdorf, C., &amp; Hupka-Brunner, S. (2015). Gender differences at labor market entry in Switzerland. In H.-P. Blossfeld, J. Skopek, M. Triventi, &amp; S. Buchholz (Eds.), </w:t>
      </w:r>
      <w:r w:rsidRPr="00A24105">
        <w:rPr>
          <w:i/>
        </w:rPr>
        <w:t>Gender, education and employment: an international comparison of school-to-work transitions</w:t>
      </w:r>
      <w:r w:rsidRPr="00A24105">
        <w:t xml:space="preserve"> (pp. 267–286). </w:t>
      </w:r>
      <w:r w:rsidRPr="0077567C">
        <w:rPr>
          <w:lang w:val="de-CH"/>
        </w:rPr>
        <w:t>Cheltenham and Northampton: Edward Elgar Publishing.</w:t>
      </w:r>
    </w:p>
    <w:p w14:paraId="134EA56E" w14:textId="77777777" w:rsidR="00A24105" w:rsidRPr="00A24105" w:rsidRDefault="00A24105" w:rsidP="00A24105">
      <w:pPr>
        <w:pStyle w:val="EndNoteBibliography"/>
        <w:spacing w:after="0"/>
        <w:ind w:left="720" w:hanging="720"/>
      </w:pPr>
      <w:r w:rsidRPr="0077567C">
        <w:rPr>
          <w:lang w:val="de-CH"/>
        </w:rPr>
        <w:t xml:space="preserve">Imdorf, C., Koomen, M., Murdoch, J., &amp; Guégnard, C. (2017). </w:t>
      </w:r>
      <w:r w:rsidRPr="00A24105">
        <w:t xml:space="preserve">Do vocational pathways improve higher education access for women and men from less privileged social backgrounds? A comparison of vocational tracks to higher education in France and Switzerland. </w:t>
      </w:r>
      <w:r w:rsidRPr="00A24105">
        <w:rPr>
          <w:i/>
        </w:rPr>
        <w:t>Rassegna italiana di Sociologia, 58</w:t>
      </w:r>
      <w:r w:rsidRPr="00A24105">
        <w:t xml:space="preserve">(2), 283-314. </w:t>
      </w:r>
    </w:p>
    <w:p w14:paraId="20DFD0B8" w14:textId="77777777" w:rsidR="00A24105" w:rsidRPr="00A24105" w:rsidRDefault="00A24105" w:rsidP="00A24105">
      <w:pPr>
        <w:pStyle w:val="EndNoteBibliography"/>
        <w:spacing w:after="0"/>
        <w:ind w:left="720" w:hanging="720"/>
      </w:pPr>
      <w:r w:rsidRPr="00A24105">
        <w:t xml:space="preserve">Imdorf, C., Sacchi, S., Wohlgemuth, K., Cortesi, S., &amp; Schoch, A. (2014). How cantonal education systems in Switzerland promote gender-typical school-to-work transitions. </w:t>
      </w:r>
      <w:r w:rsidRPr="00A24105">
        <w:rPr>
          <w:i/>
        </w:rPr>
        <w:t>Swiss Journal of Sociology, 40</w:t>
      </w:r>
      <w:r w:rsidRPr="00A24105">
        <w:t xml:space="preserve">(2), 175-196. </w:t>
      </w:r>
    </w:p>
    <w:p w14:paraId="4487BEF4" w14:textId="77777777" w:rsidR="00A24105" w:rsidRPr="00A24105" w:rsidRDefault="00A24105" w:rsidP="00A24105">
      <w:pPr>
        <w:pStyle w:val="EndNoteBibliography"/>
        <w:spacing w:after="0"/>
        <w:ind w:left="720" w:hanging="720"/>
      </w:pPr>
      <w:r w:rsidRPr="00A24105">
        <w:t xml:space="preserve">Lesnard, L. (2006). </w:t>
      </w:r>
      <w:r w:rsidRPr="00A24105">
        <w:rPr>
          <w:i/>
        </w:rPr>
        <w:t>Optimal matching and social sciences</w:t>
      </w:r>
      <w:r w:rsidRPr="00A24105">
        <w:t xml:space="preserve">. Retrieved from </w:t>
      </w:r>
    </w:p>
    <w:p w14:paraId="17DFE4EC" w14:textId="77777777" w:rsidR="00A24105" w:rsidRPr="00A24105" w:rsidRDefault="00A24105" w:rsidP="00A24105">
      <w:pPr>
        <w:pStyle w:val="EndNoteBibliography"/>
        <w:spacing w:after="0"/>
        <w:ind w:left="720" w:hanging="720"/>
      </w:pPr>
      <w:r w:rsidRPr="00A24105">
        <w:t xml:space="preserve">Lesnard, L. (2010). Setting cost in optimal matching to uncover contemporaneous socio-temporal patterns. </w:t>
      </w:r>
      <w:r w:rsidRPr="00A24105">
        <w:rPr>
          <w:i/>
        </w:rPr>
        <w:t>Sociological Methods &amp; Research, 38</w:t>
      </w:r>
      <w:r w:rsidRPr="00A24105">
        <w:t>(3), 389-419. doi:10.1177/0049124110362526</w:t>
      </w:r>
    </w:p>
    <w:p w14:paraId="71B0DC71" w14:textId="77777777" w:rsidR="00A24105" w:rsidRPr="0077567C" w:rsidRDefault="00A24105" w:rsidP="00A24105">
      <w:pPr>
        <w:pStyle w:val="EndNoteBibliography"/>
        <w:spacing w:after="0"/>
        <w:ind w:left="720" w:hanging="720"/>
        <w:rPr>
          <w:lang w:val="de-CH"/>
        </w:rPr>
      </w:pPr>
      <w:r w:rsidRPr="00A24105">
        <w:lastRenderedPageBreak/>
        <w:t xml:space="preserve">Mood, C. (2017). More than money: social class, income, and the intergenerational persistence of advantage. </w:t>
      </w:r>
      <w:r w:rsidRPr="0077567C">
        <w:rPr>
          <w:i/>
          <w:lang w:val="de-CH"/>
        </w:rPr>
        <w:t>Sociological Science, 4</w:t>
      </w:r>
      <w:r w:rsidRPr="0077567C">
        <w:rPr>
          <w:lang w:val="de-CH"/>
        </w:rPr>
        <w:t xml:space="preserve">, 263-287. </w:t>
      </w:r>
    </w:p>
    <w:p w14:paraId="564ED598" w14:textId="77777777" w:rsidR="00A24105" w:rsidRPr="0077567C" w:rsidRDefault="00A24105" w:rsidP="00A24105">
      <w:pPr>
        <w:pStyle w:val="EndNoteBibliography"/>
        <w:spacing w:after="0"/>
        <w:ind w:left="720" w:hanging="720"/>
        <w:rPr>
          <w:lang w:val="de-CH"/>
        </w:rPr>
      </w:pPr>
      <w:r w:rsidRPr="0077567C">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77567C">
        <w:rPr>
          <w:i/>
          <w:lang w:val="de-CH"/>
        </w:rPr>
        <w:t>Zeitschrift für Pädagogik, 53</w:t>
      </w:r>
      <w:r w:rsidRPr="0077567C">
        <w:rPr>
          <w:lang w:val="de-CH"/>
        </w:rPr>
        <w:t xml:space="preserve">(4), 491-508. </w:t>
      </w:r>
    </w:p>
    <w:p w14:paraId="21D09959" w14:textId="77777777" w:rsidR="00A24105" w:rsidRPr="00A24105" w:rsidRDefault="00A24105" w:rsidP="00A24105">
      <w:pPr>
        <w:pStyle w:val="EndNoteBibliography"/>
        <w:spacing w:after="0"/>
        <w:ind w:left="720" w:hanging="720"/>
      </w:pPr>
      <w:r w:rsidRPr="0077567C">
        <w:rPr>
          <w:lang w:val="de-CH"/>
        </w:rPr>
        <w:t xml:space="preserve">Peisert, H. (1967). </w:t>
      </w:r>
      <w:r w:rsidRPr="0077567C">
        <w:rPr>
          <w:i/>
          <w:lang w:val="de-CH"/>
        </w:rPr>
        <w:t>Soziale Lage und Bildungschancen in Deutschland</w:t>
      </w:r>
      <w:r w:rsidRPr="0077567C">
        <w:rPr>
          <w:lang w:val="de-CH"/>
        </w:rPr>
        <w:t xml:space="preserve">. </w:t>
      </w:r>
      <w:r w:rsidRPr="00A24105">
        <w:t>München: Piper.</w:t>
      </w:r>
    </w:p>
    <w:p w14:paraId="67E27B5A" w14:textId="77777777" w:rsidR="00A24105" w:rsidRPr="0077567C" w:rsidRDefault="00A24105" w:rsidP="00A24105">
      <w:pPr>
        <w:pStyle w:val="EndNoteBibliography"/>
        <w:spacing w:after="0"/>
        <w:ind w:left="720" w:hanging="720"/>
        <w:rPr>
          <w:lang w:val="de-CH"/>
        </w:rPr>
      </w:pPr>
      <w:r w:rsidRPr="00A24105">
        <w:t>Reimer, D., &amp; Pollak, R. (2005).</w:t>
      </w:r>
      <w:r w:rsidRPr="00A24105">
        <w:rPr>
          <w:i/>
        </w:rPr>
        <w:t xml:space="preserve"> The impact of social origin on the transition to tertiary education in West Germany 1983 and 1999</w:t>
      </w:r>
      <w:r w:rsidRPr="00A24105">
        <w:t xml:space="preserve">. </w:t>
      </w:r>
      <w:r w:rsidRPr="0077567C">
        <w:rPr>
          <w:lang w:val="de-CH"/>
        </w:rPr>
        <w:t>Arbeitspapiere - Mannheimer Zentrum für Europäische Sozialforschung. Universität Mannheim.</w:t>
      </w:r>
    </w:p>
    <w:p w14:paraId="189FAC2C" w14:textId="77777777" w:rsidR="00A24105" w:rsidRPr="00A24105" w:rsidRDefault="00A24105" w:rsidP="00A24105">
      <w:pPr>
        <w:pStyle w:val="EndNoteBibliography"/>
        <w:spacing w:after="0"/>
        <w:ind w:left="720" w:hanging="720"/>
      </w:pPr>
      <w:r w:rsidRPr="0077567C">
        <w:rPr>
          <w:lang w:val="de-CH"/>
        </w:rPr>
        <w:t xml:space="preserve">Rivera, L. A., &amp; Tilcsik, A. (2016). </w:t>
      </w:r>
      <w:r w:rsidRPr="00A24105">
        <w:t xml:space="preserve">Class advantage, commitment penalty: the gendered effect of social class signals in an elite labor market. </w:t>
      </w:r>
      <w:r w:rsidRPr="00A24105">
        <w:rPr>
          <w:i/>
        </w:rPr>
        <w:t>American Sociological Review, 81</w:t>
      </w:r>
      <w:r w:rsidRPr="00A24105">
        <w:t xml:space="preserve">(6), 1097-1131. </w:t>
      </w:r>
    </w:p>
    <w:p w14:paraId="436FDB68" w14:textId="77777777" w:rsidR="00A24105" w:rsidRPr="00A24105" w:rsidRDefault="00A24105" w:rsidP="00A24105">
      <w:pPr>
        <w:pStyle w:val="EndNoteBibliography"/>
        <w:spacing w:after="0"/>
        <w:ind w:left="720" w:hanging="720"/>
      </w:pPr>
      <w:r w:rsidRPr="00A24105">
        <w:t xml:space="preserve">Sacchi, S. (2011). Construction of TREE panel weights. </w:t>
      </w:r>
      <w:r w:rsidRPr="00A24105">
        <w:rPr>
          <w:i/>
        </w:rPr>
        <w:t>Documentation for the panel waves from 2000 to 2010, 2011</w:t>
      </w:r>
      <w:r w:rsidRPr="00A24105">
        <w:t xml:space="preserve">. </w:t>
      </w:r>
    </w:p>
    <w:p w14:paraId="7C40160A" w14:textId="77777777" w:rsidR="00A24105" w:rsidRPr="00A24105" w:rsidRDefault="00A24105" w:rsidP="00A24105">
      <w:pPr>
        <w:pStyle w:val="EndNoteBibliography"/>
        <w:spacing w:after="0"/>
        <w:ind w:left="720" w:hanging="720"/>
      </w:pPr>
      <w:r w:rsidRPr="0077567C">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A24105">
        <w:rPr>
          <w:i/>
        </w:rPr>
        <w:t>Schweizerische Zeitschrift für Soziologie, 40</w:t>
      </w:r>
      <w:r w:rsidRPr="00A24105">
        <w:t xml:space="preserve">(3), 401-428. </w:t>
      </w:r>
    </w:p>
    <w:p w14:paraId="14F7435F" w14:textId="77777777" w:rsidR="00A24105" w:rsidRPr="00A24105" w:rsidRDefault="00A24105" w:rsidP="00A24105">
      <w:pPr>
        <w:pStyle w:val="EndNoteBibliography"/>
        <w:spacing w:after="0"/>
        <w:ind w:left="720" w:hanging="720"/>
      </w:pPr>
      <w:r w:rsidRPr="00A24105">
        <w:t xml:space="preserve">Strand, S. (2014). Ethnicity, gender, social class and achievement gaps at age 16: Intersectionality and ‘Getting it’for the white working class. </w:t>
      </w:r>
      <w:r w:rsidRPr="00A24105">
        <w:rPr>
          <w:i/>
        </w:rPr>
        <w:t>Research Papers in Education, 29</w:t>
      </w:r>
      <w:r w:rsidRPr="00A24105">
        <w:t xml:space="preserve">(2), 131-171. </w:t>
      </w:r>
    </w:p>
    <w:p w14:paraId="7360A5F5" w14:textId="77777777" w:rsidR="00A24105" w:rsidRPr="00A24105" w:rsidRDefault="00A24105" w:rsidP="00A24105">
      <w:pPr>
        <w:pStyle w:val="EndNoteBibliography"/>
        <w:spacing w:after="0"/>
        <w:ind w:left="720" w:hanging="720"/>
      </w:pPr>
      <w:r w:rsidRPr="00A24105">
        <w:t xml:space="preserve">van de Werfhorst, H. G. (2002). A detailed examination of the role of education in intergenerational social-class mobility. </w:t>
      </w:r>
      <w:r w:rsidRPr="00A24105">
        <w:rPr>
          <w:i/>
        </w:rPr>
        <w:t>Social Science Information, 41</w:t>
      </w:r>
      <w:r w:rsidRPr="00A24105">
        <w:t xml:space="preserve">(3), 407-438. </w:t>
      </w:r>
    </w:p>
    <w:p w14:paraId="6C45503B" w14:textId="77777777" w:rsidR="00A24105" w:rsidRPr="00A24105" w:rsidRDefault="00A24105" w:rsidP="00A24105">
      <w:pPr>
        <w:pStyle w:val="EndNoteBibliography"/>
        <w:ind w:left="720" w:hanging="720"/>
      </w:pPr>
      <w:r w:rsidRPr="00A24105">
        <w:t xml:space="preserve">Warm, T. A. (1989). Weighted likelihood estimation of ability in item response theory. </w:t>
      </w:r>
      <w:r w:rsidRPr="00A24105">
        <w:rPr>
          <w:i/>
        </w:rPr>
        <w:t>Psychometrika, 54</w:t>
      </w:r>
      <w:r w:rsidRPr="00A24105">
        <w:t xml:space="preserve">(3), 427-450. </w:t>
      </w:r>
    </w:p>
    <w:p w14:paraId="14933723" w14:textId="694EB88A" w:rsidR="00CC425F" w:rsidRPr="00955293" w:rsidRDefault="00A614AD" w:rsidP="006A5BD7">
      <w:pPr>
        <w:spacing w:after="240" w:line="240" w:lineRule="auto"/>
        <w:jc w:val="both"/>
      </w:pPr>
      <w:r>
        <w:fldChar w:fldCharType="end"/>
      </w:r>
    </w:p>
    <w:sectPr w:rsidR="00CC425F" w:rsidRPr="00955293" w:rsidSect="006A5BD7">
      <w:headerReference w:type="default" r:id="rId24"/>
      <w:footerReference w:type="default" r:id="rId25"/>
      <w:headerReference w:type="first" r:id="rId26"/>
      <w:footerReference w:type="first" r:id="rId27"/>
      <w:pgSz w:w="11906" w:h="16838"/>
      <w:pgMar w:top="1440" w:right="1080" w:bottom="1440" w:left="1080" w:header="708" w:footer="708" w:gutter="0"/>
      <w:lnNumType w:countBy="1" w:restart="newSectio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immermann, Barbara Andrea (SOZ)" w:date="2019-05-21T17:20:00Z" w:initials="ZBA(">
    <w:p w14:paraId="76E726C3" w14:textId="7E82FFF1" w:rsidR="00A67D43" w:rsidRPr="00A67D43" w:rsidRDefault="00A67D43">
      <w:pPr>
        <w:pStyle w:val="Kommentartext"/>
        <w:rPr>
          <w:lang w:val="de-CH"/>
        </w:rPr>
      </w:pPr>
      <w:r>
        <w:rPr>
          <w:rStyle w:val="Kommentarzeichen"/>
        </w:rPr>
        <w:annotationRef/>
      </w:r>
      <w:r w:rsidRPr="00A67D43">
        <w:rPr>
          <w:lang w:val="de-CH"/>
        </w:rPr>
        <w:t>Diese angepassten Bezeichnungen nun überall noch ändern…</w:t>
      </w:r>
    </w:p>
  </w:comment>
  <w:comment w:id="6" w:author="Zimmermann, Barbara Andrea (SOZ)" w:date="2019-05-27T15:19:00Z" w:initials="ZBA(">
    <w:p w14:paraId="324975E7" w14:textId="27B26D49" w:rsidR="008F240E" w:rsidRPr="008F240E" w:rsidRDefault="008F240E">
      <w:pPr>
        <w:pStyle w:val="Kommentartext"/>
        <w:rPr>
          <w:lang w:val="de-CH"/>
        </w:rPr>
      </w:pPr>
      <w:r>
        <w:rPr>
          <w:rStyle w:val="Kommentarzeichen"/>
        </w:rPr>
        <w:annotationRef/>
      </w:r>
      <w:r w:rsidRPr="008F240E">
        <w:rPr>
          <w:lang w:val="de-CH"/>
        </w:rPr>
        <w:t>Wo ist die Fussnote hin?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E726C3" w15:done="0"/>
  <w15:commentEx w15:paraId="324975E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F1378" w14:textId="77777777" w:rsidR="00EE374D" w:rsidRDefault="00EE374D">
      <w:pPr>
        <w:spacing w:after="0" w:line="240" w:lineRule="auto"/>
      </w:pPr>
      <w:r>
        <w:separator/>
      </w:r>
    </w:p>
  </w:endnote>
  <w:endnote w:type="continuationSeparator" w:id="0">
    <w:p w14:paraId="7906CD80" w14:textId="77777777" w:rsidR="00EE374D" w:rsidRDefault="00EE3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37D0693B" w:rsidR="00A67D43" w:rsidRPr="00B26D46" w:rsidRDefault="00A67D4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6D028D">
      <w:rPr>
        <w:noProof/>
        <w:sz w:val="18"/>
        <w:lang w:val="en-US"/>
      </w:rPr>
      <w:t>10</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A67D43" w:rsidRPr="009946EC" w:rsidRDefault="00A67D4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565F169E" w:rsidR="00A67D43" w:rsidRPr="00B26D46" w:rsidRDefault="00A67D4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6D028D">
      <w:rPr>
        <w:noProof/>
        <w:sz w:val="18"/>
        <w:lang w:val="en-US"/>
      </w:rPr>
      <w:t>21</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A67D43" w:rsidRPr="009946EC" w:rsidRDefault="00A67D4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ADCF3" w14:textId="77777777" w:rsidR="00EE374D" w:rsidRDefault="00EE374D">
      <w:pPr>
        <w:spacing w:after="0" w:line="240" w:lineRule="auto"/>
      </w:pPr>
      <w:r>
        <w:separator/>
      </w:r>
    </w:p>
  </w:footnote>
  <w:footnote w:type="continuationSeparator" w:id="0">
    <w:p w14:paraId="6D5C879C" w14:textId="77777777" w:rsidR="00EE374D" w:rsidRDefault="00EE374D">
      <w:pPr>
        <w:spacing w:after="0" w:line="240" w:lineRule="auto"/>
      </w:pPr>
      <w:r>
        <w:continuationSeparator/>
      </w:r>
    </w:p>
  </w:footnote>
  <w:footnote w:id="1">
    <w:p w14:paraId="71306287" w14:textId="5E949464" w:rsidR="00A67D43" w:rsidRPr="00224627" w:rsidRDefault="00A67D43" w:rsidP="00224627">
      <w:pPr>
        <w:pStyle w:val="Funotentext"/>
        <w:rPr>
          <w:lang w:val="en-GB"/>
        </w:rPr>
      </w:pPr>
      <w:r>
        <w:rPr>
          <w:rStyle w:val="Funotenzeichen"/>
        </w:rPr>
        <w:footnoteRef/>
      </w:r>
      <w:r>
        <w:t xml:space="preserve"> </w:t>
      </w:r>
      <w:r w:rsidRPr="00224627">
        <w:rPr>
          <w:lang w:val="en-GB"/>
        </w:rPr>
        <w:t>For younger c</w:t>
      </w:r>
      <w:r>
        <w:rPr>
          <w:lang w:val="en-GB"/>
        </w:rPr>
        <w:t>ohorts this is less so the case.</w:t>
      </w:r>
      <w:r w:rsidRPr="00224627">
        <w:rPr>
          <w:lang w:val="en-GB"/>
        </w:rPr>
        <w:t xml:space="preserve"> </w:t>
      </w:r>
      <w:r>
        <w:rPr>
          <w:lang w:val="en-GB"/>
        </w:rPr>
        <w:t xml:space="preserve">In 2002, the </w:t>
      </w:r>
      <w:r w:rsidRPr="00224627">
        <w:rPr>
          <w:lang w:val="en-GB"/>
        </w:rPr>
        <w:t xml:space="preserve">healthcare assistant apprenticeship </w:t>
      </w:r>
      <w:proofErr w:type="gramStart"/>
      <w:r w:rsidRPr="00224627">
        <w:rPr>
          <w:lang w:val="en-GB"/>
        </w:rPr>
        <w:t>has been created</w:t>
      </w:r>
      <w:proofErr w:type="gramEnd"/>
      <w:r w:rsidRPr="00224627">
        <w:rPr>
          <w:lang w:val="en-GB"/>
        </w:rPr>
        <w:t xml:space="preserve"> and it is now an important route to nursing.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A67D43" w:rsidRDefault="00A67D43"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A67D43" w:rsidRDefault="00A67D43"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A67D43" w:rsidRDefault="00A67D43"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A67D43" w:rsidRDefault="00A67D43"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record-ids&gt;&lt;/item&gt;&lt;/Libraries&gt;"/>
  </w:docVars>
  <w:rsids>
    <w:rsidRoot w:val="004E1399"/>
    <w:rsid w:val="00004FCF"/>
    <w:rsid w:val="0002443B"/>
    <w:rsid w:val="0002494D"/>
    <w:rsid w:val="00084ACB"/>
    <w:rsid w:val="000A27A3"/>
    <w:rsid w:val="000A3F50"/>
    <w:rsid w:val="000B44F6"/>
    <w:rsid w:val="000E50C7"/>
    <w:rsid w:val="00115228"/>
    <w:rsid w:val="00115800"/>
    <w:rsid w:val="001447B0"/>
    <w:rsid w:val="00152CB4"/>
    <w:rsid w:val="001630B6"/>
    <w:rsid w:val="001A1BB7"/>
    <w:rsid w:val="001E46F6"/>
    <w:rsid w:val="00224627"/>
    <w:rsid w:val="002756BB"/>
    <w:rsid w:val="00334A8E"/>
    <w:rsid w:val="003364C9"/>
    <w:rsid w:val="00350173"/>
    <w:rsid w:val="00376172"/>
    <w:rsid w:val="003B051E"/>
    <w:rsid w:val="003B08E7"/>
    <w:rsid w:val="003C3584"/>
    <w:rsid w:val="003D0E80"/>
    <w:rsid w:val="003E04F9"/>
    <w:rsid w:val="00434FCA"/>
    <w:rsid w:val="004727C5"/>
    <w:rsid w:val="004E1399"/>
    <w:rsid w:val="004E56E6"/>
    <w:rsid w:val="00565192"/>
    <w:rsid w:val="005B045D"/>
    <w:rsid w:val="005D325E"/>
    <w:rsid w:val="005D4AAA"/>
    <w:rsid w:val="00653F8F"/>
    <w:rsid w:val="006553DA"/>
    <w:rsid w:val="00682E27"/>
    <w:rsid w:val="006A5BD7"/>
    <w:rsid w:val="006D028D"/>
    <w:rsid w:val="006F21F0"/>
    <w:rsid w:val="007323D5"/>
    <w:rsid w:val="00733EAB"/>
    <w:rsid w:val="00764CC8"/>
    <w:rsid w:val="0077567C"/>
    <w:rsid w:val="00781225"/>
    <w:rsid w:val="00781730"/>
    <w:rsid w:val="00785DFA"/>
    <w:rsid w:val="007D609D"/>
    <w:rsid w:val="00816D25"/>
    <w:rsid w:val="0081750E"/>
    <w:rsid w:val="00833DCA"/>
    <w:rsid w:val="00840C01"/>
    <w:rsid w:val="00894AE6"/>
    <w:rsid w:val="008954BA"/>
    <w:rsid w:val="008B6D79"/>
    <w:rsid w:val="008E73FA"/>
    <w:rsid w:val="008F240E"/>
    <w:rsid w:val="00947247"/>
    <w:rsid w:val="00955293"/>
    <w:rsid w:val="009734A7"/>
    <w:rsid w:val="00987729"/>
    <w:rsid w:val="00987D85"/>
    <w:rsid w:val="009D42F9"/>
    <w:rsid w:val="009E7012"/>
    <w:rsid w:val="00A20A0F"/>
    <w:rsid w:val="00A24105"/>
    <w:rsid w:val="00A614AD"/>
    <w:rsid w:val="00A67D43"/>
    <w:rsid w:val="00A91432"/>
    <w:rsid w:val="00B41B83"/>
    <w:rsid w:val="00B91658"/>
    <w:rsid w:val="00B95315"/>
    <w:rsid w:val="00BB3277"/>
    <w:rsid w:val="00BB3D41"/>
    <w:rsid w:val="00BC0B42"/>
    <w:rsid w:val="00BE1BF0"/>
    <w:rsid w:val="00C12E78"/>
    <w:rsid w:val="00C15CF8"/>
    <w:rsid w:val="00C37F28"/>
    <w:rsid w:val="00CB4237"/>
    <w:rsid w:val="00CC425F"/>
    <w:rsid w:val="00DA061E"/>
    <w:rsid w:val="00DA61D3"/>
    <w:rsid w:val="00DC0363"/>
    <w:rsid w:val="00DD0088"/>
    <w:rsid w:val="00E02755"/>
    <w:rsid w:val="00E2121E"/>
    <w:rsid w:val="00E21FCA"/>
    <w:rsid w:val="00EA720A"/>
    <w:rsid w:val="00EE374D"/>
    <w:rsid w:val="00F13F73"/>
    <w:rsid w:val="00F37615"/>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3EE5-ED53-4696-A412-23BA1D57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14417</Words>
  <Characters>90830</Characters>
  <Application>Microsoft Office Word</Application>
  <DocSecurity>0</DocSecurity>
  <Lines>756</Lines>
  <Paragraphs>210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105037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59</cp:revision>
  <cp:lastPrinted>2019-05-21T14:13:00Z</cp:lastPrinted>
  <dcterms:created xsi:type="dcterms:W3CDTF">2019-05-16T09:23:00Z</dcterms:created>
  <dcterms:modified xsi:type="dcterms:W3CDTF">2019-05-27T13:34:00Z</dcterms:modified>
</cp:coreProperties>
</file>