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УТВЕРЖДЕН 11710-11710-1-ЛУ</w:t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heading=h.2n17g72irq53" w:id="0"/>
      <w:bookmarkEnd w:id="0"/>
      <w:r w:rsidDel="00000000" w:rsidR="00000000" w:rsidRPr="00000000">
        <w:rPr>
          <w:rtl w:val="0"/>
        </w:rPr>
        <w:t xml:space="preserve">«Платформа АРХИ» для управления строительным проектом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gu12kfo8kq97" w:id="1"/>
      <w:bookmarkEnd w:id="1"/>
      <w:r w:rsidDel="00000000" w:rsidR="00000000" w:rsidRPr="00000000">
        <w:rPr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Обозначение: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11710-11710-1.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Редакция: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8.0.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редакции: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ЦИИ НГУ (Центр искусственного интеллекта Новосибирского государственного университета).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Обозначение изделия: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11710-11710.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ГОСТ 19.201-78 «ЕСПД. Техническое задание. Требования к содержанию и оформлению».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2026-09-01.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Листов: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настоящий документ выполнен в электронной форме.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Предыдущая редакция: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11710-11710-1, редакция 7.6 (заказчик — ООО «Группа Мета»), 41 лист, файл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11710-11710-1 Техническое задание (редакция 7.6, Группа Мета).md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Соответствие нумерации разделов — приложение Г.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  <w:sectPr>
          <w:footerReference r:id="rId7" w:type="default"/>
          <w:footerReference r:id="rId8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АННОТАЦИЯ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Настоящее техническое задание распространяется на разработку программного изделия «Платформа АРХИ» — системы управления строительными проектами и регламентами с использованием семантического искусственного интеллекта, предназначенной для функционирования в составе платформы СИГМА.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Причина выпуска настоящей редакции.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Версия 7.6 составлялась по договору № 0-34-2023 от 21.11.2023, заключённому НГУ с индустриальным партнёром — ООО «Группа Мета». С 2025 года оплата работ со стороны индустриального партнёра не производилась, письменных пояснений о причинах не поступало; названный договор прекратил своё действие. Задача создания востребованного рынком программного обеспечения для управления строительством при этом оставалась поставленной перед ЦИИ НГУ, а изделие было доведено до работающего состояния. Разработка продолжена, заказчиком настоящей редакции выступает ЦИИ НГУ. Подробнее — раздел 2.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Редакция 8.0 отличается от версии 7.6 назначением: требования изложены в форме, допускающей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непосредственную проверку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Каждый пункт раздела 4 сопровождается указанием реализующего кода (файл и номер строки) и раздела пользовательского интерфейса, в котором результат наблюдаем. Требования версии 7.6, не имеющие реализации на дату утверждения настоящей редакции, исключены из раздела 4 и вынесены в приложение А «Требования, отнесённые к развитию платформы» с сохранением исходных формулировок и номеров пунктов.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Программная основа.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Изделие выполнено не как отдельная программа, написанная с нуля, а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предметная настройка на фреймворке инструментов РАГРАФ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Версия 7.6 предполагала, что ядро исполнения даст сторонний поставщик семантической платформы; поставщик к разработке не привлекался, и функции ядра закрыты собственным кодом фреймворка. Отраслевая часть изделия составляет около 4 % объёма кода, остальное принадлежит доменно-нейтральному ядру. Разграничение изложено в п. 1.2.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Отношение к фреймворку СИГМА.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Настоящая редакция сохраняет установленное версией 7.6 назначение изделия — функционирование в составе платформы СИГМА, — но изменяет способ его достижения, и это изменение требует пояснения.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Версия 7.6 предполагала, что ядро исполнения предоставит сторонний правообладатель семантической платформы (пп. 4.3.1, 4.3.6). Права на коммерческое использование этой технологии в письменном виде исполнителю не предоставлялись, а её правообладатель в состав группы разработки не вошёл. Изделие, доведённое на такой основе до стадии распространения, оказалось бы связано лицензионными условиями третьего лица, не определёнными на момент разработки. В октябре 2025 года промежуточная проверка Министерства экономического развития указала на это обстоятельство как на риск, после чего был выполнен переход на собственный фреймворк.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Заимствована при этом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идея архитектуры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разработанная в проекте фреймворка СИГМА и принадлежащая ЦИИ НГУ: контур из входящих событий, базы знаний, базы данных, программного шлюза и решателя. Программные средства третьих лиц не использовались.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Назначение изделия от этого не изменилось. Уточнённая редакция технического задания фреймворка СИГМА 2026 года (лист утверждения ИИ-01-01-01-1/1-ЛУ) устанавливает, что подключаемые к ядру модули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том числе реализованные в рамках других проектов ЦИИ НГУ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должны обеспечивать реализацию пользовательских сценариев, а интеграция с внешними подсистемами должна базироваться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едином стандарте обмена событиями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подключением через адаптеры и программный шлюз (п. 4.1.2). Требование предъявляется, таким образом, к способу подключения, а не к внутреннему устройству подключаемой части. Требование к семантической базе знаний сформулировано там же как требование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форматам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(RDF, OWL, SHACL), а не к конкретному продукту-хранилищу; эти форматы изделием сохранены, чем и обеспечивается его стыкуемость.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обоснование принятых решений, разграничение заимствованного и собственного и хронология — пояснительная записка фреймворка, обозначение 00000-00000-81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docs/RAGRAF/GOST-19/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 содержит разделы: «Введение», «Основания для разработки», «Назначение разработки», «Требования к программному изделию», «Требования к программной документации», «Технико-экономические показатели», «Стадии и этапы разработки», «Порядок контроля и приёмки», а также приложения А–Д.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СОДЕРЖАНИЕ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348882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АННОТАЦИЯ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Что изменилось в редакции 8.0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Наименование программного изделия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Краткая характеристика области применения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ОСНОВАНИЯ ДЛЯ РАЗРАБОТКИ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НАЗНАЧЕНИЕ РАЗРАБОТКИ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ТРЕБОВАНИЯ К ПРОГРАММНОМУ ИЗДЕЛИЮ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Требования к функциональным характеристикам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4.1.1. Общие функциональные требования (п. 4.1 версии 7.6)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4.1.2. Регламенты, процессы и процедуры (п. 4.2.1 версии 7.6)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4.1.3. Анализ и обработка данных (п. 4.2.2 версии 7.6)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4.1.4. Информационная поддержка принятия решений (п. 4.2.3 версии 7.6)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4.1.5. Диспетчеризация (п. 4.2.4 версии 7.6)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4.1.6. Планирование (п. 4.2.5 версии 7.6)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4.1.7. Коммуникации и взаимодействие (п. 4.2.6 версии 7.6)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4.1.8. Создание отчётов (п. 4.2.7 версии 7.6)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4.1.9. Архитектура программного изделия (п. 4.3 версии 7.6)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Требования к надёжности (п. 4.4 версии 7.6)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Условия эксплуатации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Требования к составу и параметрам технических средств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 Требования к информационной и программной совместимости (п. 4.5 версии 7.6)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 Требования к маркировке и упаковке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 Требования к транспортированию и хранению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4.8. Специальные требования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ТРЕБОВАНИЯ К ПРОГРАММНОЙ ДОКУМЕНТАЦИИ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ТЕХНИКО-ЭКОНОМИЧЕСКИЕ ПОКАЗАТЕЛИ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СТАДИИ И ЭТАПЫ РАЗРАБОТКИ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ПОРЯДОК КОНТРОЛЯ И ПРИЁМКИ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8.1. Метод проверки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8.2. Виды контроля и испытаний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8.3. Общие требования к приёмке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А. Требования, отнесённые к развитию платформы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 Интеграции с внешними системами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А.2. Цифровой двойник договора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А.3. Диалоговый ассистент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А.4. Семантическая обработка документов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А.5. Планирование и отчётность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А.6. Безопасность и эксплуатация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А.7. Шлюз событий и язык регламентов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Б. Таблица прослеживаемости «требование — код — интерфейс»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В. Термины и сокращения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Г. Соответствие нумерации редакций 8.0 и 7.6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Д. Готовность к внедрению на намеченных площадках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Д.1. Оцифровано под площадки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Д.2. Подключено к боевым источникам данных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Д.3. Не подключено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Д.4. Условия перехода к опытной эксплуатации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Связанные документы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Что изменилось в редакции 8.0</w:t>
      </w: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-108.0" w:type="dxa"/>
        <w:tblLayout w:type="fixed"/>
        <w:tblLook w:val="0020"/>
      </w:tblPr>
      <w:tblGrid>
        <w:gridCol w:w="2085"/>
        <w:gridCol w:w="2370"/>
        <w:gridCol w:w="2610"/>
        <w:gridCol w:w="2355"/>
        <w:tblGridChange w:id="0">
          <w:tblGrid>
            <w:gridCol w:w="2085"/>
            <w:gridCol w:w="2370"/>
            <w:gridCol w:w="2610"/>
            <w:gridCol w:w="2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Изменение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 7.6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Редакция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2595.9843750000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 редакции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ООО «Группа Мета» — индустриальный партнёр по договору № 0-34-2023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ЦИИ НГУ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договор прекратил действие, оплата работ не производится с 2025 года; задача перед ЦИИ НГУ сохранена — раздел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 изложения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в будущем времени («должна обеспечивать»)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утверждение о реализованном со ссылкой на код и раздел интерфейса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приёмка ведётся по пунктам, а не по впечатлению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Структура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произвольная (раздел 5 «Прочие требования»)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 ГОСТ 19.201-78, с обязательными подразделами 4.1–4.8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требование к оформлению программной документации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Нереализованное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вперемешку с реализованным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 один пункт раздела 4 не проверяется отрицательно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Ядро исполнения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(пп. 4.3.1, 4.3.6 версии 7.6)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семантическая платформа стороннего поставщика (Eyeline Software Development Platform, ООО «АиЛайн СНГ»), язык d0sl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фреймворк инструментов РАГРАФ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язык регламентов Flow DSL, визуальный редактор, детерминированный интерпретатор; изделие — предметная настройка на этом фреймворке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сторонний поставщик к разработке не привлекался; функция закрыта собственным кодом, без лицензионных платежей и зависимости от поставщика — п. 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внешних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(пп. 4.2.2, 4.3.3, 4.5)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Plan-R, Oracle Primavera, Redmine PMS, Microsoft Project, 1С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Plan-R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(промышленная интеграция); остальные — приложение 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заявлять интеграцию, кода которой нет, недопустимо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Диалоговый ассистент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(п. 4.3.4)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единый ассистент в мессенджере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два канала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исходящие вердикты в Telegram и диалог с ИИ-помощником в разделе «Сима · Студия»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соответствует фактической реализации; входящий канал — приложение 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Цифровой двойник договора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равноправен с двойником регламента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реквизиты и сроки договора как входные данные регламентов; отдельная сущность — приложение 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модель договора с реестром обязательств не реализована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Информационная безопасность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(п. 4.3.9)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двухфакторная аутентификация через сигнальную сеть, электронная подпись, права из цифровых регламентов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журнал только на добавление, история версий, административный доступ, маскирование персональных данных, токен на приём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остальное — приложение А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480" w:right="48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 одно требование версии 7.6 не удалено. Соответствие нумерации приведено в приложении Г.</w:t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ВВЕДЕНИЕ</w:t>
      </w:r>
    </w:p>
    <w:p w:rsidR="00000000" w:rsidDel="00000000" w:rsidP="00000000" w:rsidRDefault="00000000" w:rsidRPr="00000000" w14:paraId="0000007A">
      <w:pPr>
        <w:pStyle w:val="Heading3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Наименование программного изделия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Полное наименование: «Платформа АРХИ» — система управления строительными проектами и регламентами с использованием семантического искусственного интеллекта. Обозначение: 11710-11710-1. Условное обозначение темы разработки: Платформа АРХИ.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1.2. Краткая характеристика области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Программное изделие применяется в строительных компаниях, организациях-заказчиках строительства и проектных организациях для контроля выполнения требований строительных и иных регламентов и для информационной поддержки принятия управленческих решений.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отношению к информационным системам организации изделие представляет собой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надстройку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оно не заменяет систему управления проектами и не ведёт календарное планирование, а формирует над ними слой проверки соответствия норме и слой действия — обнаружение отклонения, адресную рекомендацию и контроль её исполнения.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Программная основа изделия.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отношению к собственной программной основе изделие представляет собой не надстройку,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предметную настройку на фреймворке инструментов РАГРАФ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Фреймворк содержит доменно-нейтральное ядро: язык регламентов Flow DSL с визуальным редактором, детерминированный интерпретатор, шлюз событий, хранилище цифровых активов с версионированием, диалоговый ассистент и веб-интерфейс. Отраслевую часть изделия составляют клиент внешней системы управления строительными проектами, детекторы риска строительного проекта, регламенты стройки, подтипы датчиков строительной площадки и два раздела интерфейса — около 4 % объёма кода; остальные 96 % принадлежат ядру и отраслевыми не являются. Разграничение с подсчётом по слоям приведено в документе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docs/ARCHI-CONSTRUCTION/README.md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такого устройства следуют два свойства, существенных для приёмки. Первое: новое отраслевое требование закрывается настройкой регламента, а не доработкой ядра, — этим обеспечивается срок изменения правила, установленный п. 4.8 (6). Второе: замена ядра исполнения, предусмотренного версией 7.6 в виде семантической платформы стороннего поставщика, на собственный фреймворк не потребовала переписывания изделия и не создала лицензионных платежей и зависимости от поставщика; сопоставление приведено в таблице «Что изменилось в редакции 8.0».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Применение искусственного интеллекта не переносит ответственность за решение с человека на программу: изделие повышает информированность руководителя в момент принятия решения и снижает риск неосведомлённости о существенных обстоятельствах проекта.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платформы СИГМА изделие является специализированным программным модулем; для цифрового двойника города — самостоятельным отраслевым цифровым двойником строительной индустрии.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w7s29n3pzlp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ОСНОВАНИЯ ДЛЯ РАЗРАБОТКИ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и условное обозначение темы разработки: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Платформа АРХИ; обозначение изделия — 11710-11710.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Документ, на основании которого была начата разработка.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Договор № 0-34-2023 от 21.11.2023 на выполнение работ в целях совместной реализации ключевых мероприятий программы ЦИИ НГУ в части внебюджетного софинансирования, заключённый НГУ с индустриальным партнёром — ООО «Группа Мета». Организации, утвердившие версию 7.6 технического задания: НГУ и ООО «Группа Мета».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Основание настоящей редакции.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2025 года оплата работ со стороны индустриального партнёра не производилась; письменных пояснений о причинах в адрес исполнителя не поступало. Названный договор прекратил своё действие, и вместе с ним прекратилось участие ООО «Группа Мета» в разработке в качестве заказчика.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на этом не остановлена по двум причинам. Первая: задача создания программного обеспечения для управления строительством, востребованного рынком, поставлена перед ЦИИ НГУ независимо от состава индустриальных партнёров и сохраняет силу. Вторая: к моменту прекращения договора изделие было доведено до работающего состояния — развёрнутый экземпляр, комплект регламентов, промышленная интеграция с внешней системой управления строительными проектами, — и прекращение работ означало бы утрату уже созданного результата.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Настоящая редакция излагает техническое задание применительно к новому заказчику — ЦИИ НГУ — и к фактически достигнутому состоянию изделия. Ранее согласованные требования не отменяются: ни один пункт версии 7.6 не удалён, нереализованное вынесено в приложение А, соответствие нумерации — приложение Г.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Научная основа.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Логико-математическую основу семантического моделирования составляют работы Института математики СО РАН: академика РАН С. С. Гончарова, академика РАН Ю. Л. Ершова, доктора физико-математических наук Д. И. Свириденко, и их развитие в трудах Е. Е. Витяева и Д. Е. Пальчунова. Реализация опирается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задачный подход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регламент представляется как формальная задача, а его исполнение — как проверяемое преобразование, дающее объяснимый результат.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научных публикаций — приложение Г версии 7.6 (33 позиции), сохраняется без изменений.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rwkvdtmvh06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НАЗНАЧЕНИЕ РАЗРАБОТКИ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Функциональное назначение.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Обеспечение эффективности контроля работ и принятия управленческих решений путём оперативной информационной поддержки руководителей разных уровней в контроле за выполнением строительных и иных регламентов, издаваемых и контролируемых государственными и муниципальными органами.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Эксплуатационное назначение.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Изделие эксплуатируется как серверное приложение с веб-интерфейсом в контуре организации либо у поставщика услуги. Постоянное присутствие оператора не требуется: сбор данных, исполнение регламентов и рассылка вердиктов выполняются автоматически по расписанию.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Классы решаемых задач: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контроль сроков и стоимости этапов строительного проекта; контроль соблюдения требований охраны труда и входного контроля материалов; контроль сохранности инженерных коммуникаций; поддержание актуальности данных в информационных системах; формирование адресных рекомендаций ответственным лицам и проверка их исполнения.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ТРЕБОВАНИЯ К ПРОГРАММНОМУ ИЗДЕЛИЮ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480" w:right="48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чтения раздела.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Пункт содержит формулировку требования, описание реализации, ссылку на код в формате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файл:строка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раздел интерфейса, где результат наблюдаем. Соответствие нумерации редакции 8.0 и версии 7.6 — приложение Г.</w:t>
      </w:r>
    </w:p>
    <w:p w:rsidR="00000000" w:rsidDel="00000000" w:rsidP="00000000" w:rsidRDefault="00000000" w:rsidRPr="00000000" w14:paraId="00000096">
      <w:pPr>
        <w:pStyle w:val="Heading3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Требования к функциональным характеристикам</w:t>
      </w:r>
    </w:p>
    <w:p w:rsidR="00000000" w:rsidDel="00000000" w:rsidP="00000000" w:rsidRDefault="00000000" w:rsidRPr="00000000" w14:paraId="00000097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wuwx92lke2ar" w:id="4"/>
      <w:bookmarkEnd w:id="4"/>
      <w:r w:rsidDel="00000000" w:rsidR="00000000" w:rsidRPr="00000000">
        <w:rPr>
          <w:rtl w:val="0"/>
        </w:rPr>
        <w:t xml:space="preserve">4.1.1. Общие функциональные требования </w:t>
      </w:r>
      <w:r w:rsidDel="00000000" w:rsidR="00000000" w:rsidRPr="00000000">
        <w:rPr>
          <w:rtl w:val="0"/>
        </w:rPr>
        <w:t xml:space="preserve">(п. 4.1 версии 7.6)</w:t>
      </w:r>
      <w:r w:rsidDel="00000000" w:rsidR="00000000" w:rsidRPr="00000000">
        <w:rPr>
          <w:rtl w:val="0"/>
        </w:rPr>
      </w:r>
    </w:p>
    <w:tbl>
      <w:tblPr>
        <w:tblStyle w:val="Table2"/>
        <w:tblW w:w="9090.0" w:type="dxa"/>
        <w:jc w:val="left"/>
        <w:tblInd w:w="-108.0" w:type="dxa"/>
        <w:tblLayout w:type="fixed"/>
        <w:tblLook w:val="0020"/>
      </w:tblPr>
      <w:tblGrid>
        <w:gridCol w:w="675"/>
        <w:gridCol w:w="1935"/>
        <w:gridCol w:w="2850"/>
        <w:gridCol w:w="1815"/>
        <w:gridCol w:w="1815"/>
        <w:tblGridChange w:id="0">
          <w:tblGrid>
            <w:gridCol w:w="675"/>
            <w:gridCol w:w="1935"/>
            <w:gridCol w:w="2850"/>
            <w:gridCol w:w="1815"/>
            <w:gridCol w:w="18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Раздел интерфейса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Поддержка принятия решений руководителями разного уровня; упреждающее предоставление информации с настройкой оповещений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Детекторы риска выполняются автоматически при каждом цикле сбора данных; тревога несёт уровень критичности, предписанное действие и роль-адресата; доставка настраивается привязками «объект — регламент — канал»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services/planr_proactive.py:39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services/etl/puller.py:611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services/planr_bindings_store.py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Стройка · Plan-R; Контуры интеграции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Переход от ручного управления к цифровым технологиям; поддержание актуальности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Регламент создаётся из текста документа без программирования; свежесть данных во внешней системе контролируется отдельным детектором с адресным напоминанием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api/sandbox.py:700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services/etl/puller.py:512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services/planr_proactive.py:158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Создать регламент из текста; Стройка · Plan-R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Автоматический прогноз рисков нарушения регламентов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Пороговое упреждение (финиш этапа в пределах 7 дней при отставании факта, отклонение на критическом пути, перерасход, устаревший график)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services/planr_proactive.py:129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вероятностная оценка выполнения критерия по накопленным прогонам с доверительным интервалом, выдаётся после 10 оценённых прогонов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services/forecast.py:54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api/regulations.py:346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прогноз срабатывания правил по внешнему прогнозу погоды на 7 суток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api/live.py:617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см. столбец «Реализация»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Стройка · Plan-R (пороговое упреждение); карточка регламента (вероятностная оценка); Ситуационный центр (погодный прогноз)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информационных систем в единую систему поддержки решений на основе единых определений понятий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Подключены система управления строительными проектами Plan-R (чтение), трекер задач (запись задач и чтение статусов), датчики и открытые источники; единство понятий обеспечивается графом знаний в RDF и словарём терминов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services/etl/planr_client.py:146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services/etl/scheduler.py:100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api/knowledge.py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services/domain_knowledge.py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Пульт ядра ETL; Граф знаний; Словарь терминов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Автоматизированная актуализация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Планировщик опрашивает источники по расписанию и запускает исполнение регламентов по появившимся событиям без участия человека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services/etl/scheduler.py:158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services/etl/applier.py:630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Пульт ядра ETL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Поддержка цифровых двойников договоров для управления обязательствами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Реквизиты и стоимость договора, сроки и исполнители этапов поступают из Plan-R и служат входными данными регламентов контроля контрагента: просрочка этапа со штрафом подрядчику, сводная оценка риска со взвешиванием по стоимости договора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services/etl/planr_client.py:259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services/sensor_schema_store.py:997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фикстуры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construction-overdue-stage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construction-portfolio-risk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Стройка · Plan-R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Поддержка цифровых двойников регламентов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Регламент — цифровой двойник: параметры с допусками, семантическая модель в RDF, формальные ограничения SHACL, исполняемый граф, версии, документ-основание с контрольной суммой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services/turtle_bridge.py:169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api/regulations.py:538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api/regulations.py:662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Регламенты — вкладки «Поля», «Слайдеры», «Turtle», «Проверка регламента», «Проверка знаний»; граф исполнения — отдельный экран «Поток»; блоки «История правок» и «Документ-основание» — внутри вкладки «Поля»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данных об управлении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 каждому регламенту накапливается статистика прогонов: доля успешных срабатываний, история метрик, детектор ухудшения качества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services/metric_analyzer.py:84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services/audit_log_store.py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Журнал прогонов; карточка регламента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Автоматизация рутинных операций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 срабатыванию регламента вердикт отправляется ответственному в мессенджер, из карточки вердикта заводится задача исполнителю; далее система проверяет, выполнено ли действие в срок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services/telegram_notifier.py:47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services/leyka_task_creator.py:124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services/etl/acceptance_resolver.py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Исполнение; Контуры интеграции</w:t>
            </w:r>
          </w:p>
        </w:tc>
      </w:tr>
    </w:tbl>
    <w:p w:rsidR="00000000" w:rsidDel="00000000" w:rsidP="00000000" w:rsidRDefault="00000000" w:rsidRPr="00000000" w14:paraId="000000CA">
      <w:pPr>
        <w:pStyle w:val="Heading4"/>
        <w:spacing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3q2ty5sck1v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4.1.2. Регламенты, процессы и процедуры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(п. 4.2.1 версии 7.6)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Библиотека шаблонов регламентов.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Трёхуровневая модель «Шаблоны / Мои / Сообщество» с группировкой по предметным областям; шаблон копируется в личную версию и правится под объект.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services/templates.py:197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api/templates.py:226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api/templates.py:108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services/regulation_store.py:1189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процессов без программирования.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Регламент правится в трёх представлениях: форма параметров, визуальный граф исполнения, исходный семантический текст. Именованный набор связанных регламентов собирается как цифровой двойник процесса, где выход одного правила подаётся на вход другого.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frontend/src/components/regulations/RegulationEditorScreen.tsx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services/process_store.py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api/processes.py:110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schemas/domain.py:471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Перевод документа в цифровую копию.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 текста извлекаются параметры контроля (эталон, допуск, единица измерения) и определяется предметная область; собирается регламент со стартовым графом. Оригинал прикрепляется с контрольной суммой, целостность проверяется отдельной операцией.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services/sandbox.py:467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api/sandbox.py:537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api/sandbox.py:700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api/regulations.py:662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api/regulations.py:752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Семантическая модель.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Регламент сериализуется в RDF/Turtle в собственной онтологии, ограничения — в SHACL; поддерживается обратный разбор.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services/turtle_bridge.py:169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services/turtle_bridge.py:428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services/turtle_bridge.py:648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Автоматическое исполнение.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Интерпретатор графа принимает показания, вычисляет пороги, формулы и развилки, выдаёт уровень критичности, сработавшие выходы, рекомендацию и пошаговый расчёт.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services/flow_executor.py:126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services/etl/applier.py:630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services/etl/scheduler.py:196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Автоматический контроль исполнения.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Критерий решённости проверяется системой: задача закрыта в срок либо параметр вернулся в норму; при невыполнении фиксируется превышение срока.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services/etl/acceptance_resolver.py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beforeAutospacing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документа по смыслу.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Документ разбивается на фрагменты, векторизуется, соотносится с корпусом регламентов; выдаётся перечень связанных регламентов и предметных областей.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services/document_store.py:53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services/document_analysis.py:48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services/embedding_index.py:26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80" w:before="18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  <w:jc w:val="both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3gZ76Y2P78RNKV/gXohQALLtw==">CgMxLjAyDmguMm4xN2c3MmlycTUzMg5oLmd1MTJrZm84a3E5NzIOaC53N3MyOW4zcHpscHAyDmgucnJ3a3ZkdG12aDA2Mg5oLnd1d3g5MmxrZTJhcjIOaC54M3EydHk1c2NrMXY4AHIhMUkyMlZnbWRtcWZDYmhkZndOWmNyOVdHcG1rdXpjN1pQ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2026-09-05T07:39:06Z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