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541AA9" w14:textId="77777777" w:rsidR="00A80C7E" w:rsidRDefault="00000000">
      <w:pPr>
        <w:pStyle w:val="Ttulo"/>
      </w:pPr>
      <w:r>
        <w:t>Documentación del Proceso Marine</w:t>
      </w:r>
    </w:p>
    <w:p w14:paraId="73541AAA" w14:textId="77777777" w:rsidR="00A80C7E" w:rsidRDefault="00000000">
      <w:pPr>
        <w:pStyle w:val="Subttulo"/>
      </w:pPr>
      <w:r>
        <w:t>Transporte, Carga y Embarcaciones — Cierre mensual de siniestros</w:t>
      </w:r>
    </w:p>
    <w:p w14:paraId="73541AAB" w14:textId="77777777" w:rsidR="00A80C7E" w:rsidRDefault="00000000">
      <w:pPr>
        <w:pStyle w:val="Author"/>
      </w:pPr>
      <w:r>
        <w:t>Área Actuarial · Kot Insurance Company AG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372814427"/>
        <w:docPartObj>
          <w:docPartGallery w:val="Table of Contents"/>
          <w:docPartUnique/>
        </w:docPartObj>
      </w:sdtPr>
      <w:sdtContent>
        <w:p w14:paraId="73541AAC" w14:textId="77777777" w:rsidR="00A80C7E" w:rsidRDefault="00000000">
          <w:pPr>
            <w:pStyle w:val="TtuloTDC"/>
          </w:pPr>
          <w:r>
            <w:t>Contenido</w:t>
          </w:r>
        </w:p>
        <w:p w14:paraId="78C86B13" w14:textId="3BFCF098" w:rsidR="007A6A91" w:rsidRDefault="00000000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6735061" w:history="1">
            <w:r w:rsidR="007A6A91" w:rsidRPr="00922364">
              <w:rPr>
                <w:rStyle w:val="Hipervnculo"/>
                <w:noProof/>
              </w:rPr>
              <w:t>1. Para qué sirve este proceso</w:t>
            </w:r>
            <w:r w:rsidR="007A6A91">
              <w:rPr>
                <w:noProof/>
                <w:webHidden/>
              </w:rPr>
              <w:tab/>
            </w:r>
            <w:r w:rsidR="007A6A91">
              <w:rPr>
                <w:noProof/>
                <w:webHidden/>
              </w:rPr>
              <w:fldChar w:fldCharType="begin"/>
            </w:r>
            <w:r w:rsidR="007A6A91">
              <w:rPr>
                <w:noProof/>
                <w:webHidden/>
              </w:rPr>
              <w:instrText xml:space="preserve"> PAGEREF _Toc236735061 \h </w:instrText>
            </w:r>
            <w:r w:rsidR="007A6A91">
              <w:rPr>
                <w:noProof/>
                <w:webHidden/>
              </w:rPr>
            </w:r>
            <w:r w:rsidR="007A6A91">
              <w:rPr>
                <w:noProof/>
                <w:webHidden/>
              </w:rPr>
              <w:fldChar w:fldCharType="separate"/>
            </w:r>
            <w:r w:rsidR="007A6A91">
              <w:rPr>
                <w:noProof/>
                <w:webHidden/>
              </w:rPr>
              <w:t>1</w:t>
            </w:r>
            <w:r w:rsidR="007A6A91">
              <w:rPr>
                <w:noProof/>
                <w:webHidden/>
              </w:rPr>
              <w:fldChar w:fldCharType="end"/>
            </w:r>
          </w:hyperlink>
        </w:p>
        <w:p w14:paraId="3BC0BC87" w14:textId="3C3F347E" w:rsidR="007A6A91" w:rsidRDefault="007A6A9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6735062" w:history="1">
            <w:r w:rsidRPr="00922364">
              <w:rPr>
                <w:rStyle w:val="Hipervnculo"/>
                <w:noProof/>
              </w:rPr>
              <w:t>2. Glosario (leer antes que nada)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D4DFF" w14:textId="02790131" w:rsidR="007A6A91" w:rsidRDefault="007A6A9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6735063" w:history="1">
            <w:r w:rsidRPr="00922364">
              <w:rPr>
                <w:rStyle w:val="Hipervnculo"/>
                <w:noProof/>
              </w:rPr>
              <w:t>3. Orden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6305D" w14:textId="594DB6E1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64" w:history="1">
            <w:r w:rsidRPr="00922364">
              <w:rPr>
                <w:rStyle w:val="Hipervnculo"/>
                <w:noProof/>
              </w:rPr>
              <w:t>Lo único que hay que editar cada 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A3C06" w14:textId="770DDCEC" w:rsidR="007A6A91" w:rsidRDefault="007A6A9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6735065" w:history="1">
            <w:r w:rsidRPr="00922364">
              <w:rPr>
                <w:rStyle w:val="Hipervnculo"/>
                <w:noProof/>
              </w:rPr>
              <w:t>4. Programa 1 — Carga de Bases Marine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D7CA9" w14:textId="04349939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66" w:history="1">
            <w:r w:rsidRPr="00922364">
              <w:rPr>
                <w:rStyle w:val="Hipervnculo"/>
                <w:noProof/>
              </w:rPr>
              <w:t>Bloque 1 — Librerías y configuración (secciones 1 y 1.5)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42800" w14:textId="2E9D5CCD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67" w:history="1">
            <w:r w:rsidRPr="00922364">
              <w:rPr>
                <w:rStyle w:val="Hipervnculo"/>
                <w:noProof/>
              </w:rPr>
              <w:t>Bloque 2 — Periodo y carpetas (sección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F6237" w14:textId="56C21EB1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68" w:history="1">
            <w:r w:rsidRPr="00922364">
              <w:rPr>
                <w:rStyle w:val="Hipervnculo"/>
                <w:noProof/>
              </w:rPr>
              <w:t>Bloque 3 — Rutas de los BDX (sección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7A621" w14:textId="1FF8972E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69" w:history="1">
            <w:r w:rsidRPr="00922364">
              <w:rPr>
                <w:rStyle w:val="Hipervnculo"/>
                <w:noProof/>
              </w:rPr>
              <w:t>Bloque 4 — Funciones de lectura y estandarización (secciones 4, 4B, 4C)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D2B23" w14:textId="79897CAB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70" w:history="1">
            <w:r w:rsidRPr="00922364">
              <w:rPr>
                <w:rStyle w:val="Hipervnculo"/>
                <w:noProof/>
              </w:rPr>
              <w:t>Bloque 5 — Lectura por cedente (sección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CADD0" w14:textId="51072F6B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71" w:history="1">
            <w:r w:rsidRPr="00922364">
              <w:rPr>
                <w:rStyle w:val="Hipervnculo"/>
                <w:noProof/>
              </w:rPr>
              <w:t>Bloque 6 — Base BDX consolidada (sección 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4E512" w14:textId="2EFD1A3F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72" w:history="1">
            <w:r w:rsidRPr="00922364">
              <w:rPr>
                <w:rStyle w:val="Hipervnculo"/>
                <w:noProof/>
              </w:rPr>
              <w:t>Bloque 7 — Base de registros nuevos del mes (sección 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4BB95" w14:textId="35577933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73" w:history="1">
            <w:r w:rsidRPr="00922364">
              <w:rPr>
                <w:rStyle w:val="Hipervnculo"/>
                <w:noProof/>
              </w:rPr>
              <w:t>Bloque 8 — Base del mes anterior y separación de legacy (secciones 8 y 8b)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D0704" w14:textId="3B7CE044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74" w:history="1">
            <w:r w:rsidRPr="00922364">
              <w:rPr>
                <w:rStyle w:val="Hipervnculo"/>
                <w:noProof/>
              </w:rPr>
              <w:t>Bloque 9 — Primera validación: reserva y deducible (sección 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2EDAA" w14:textId="47E05FCF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75" w:history="1">
            <w:r w:rsidRPr="00922364">
              <w:rPr>
                <w:rStyle w:val="Hipervnculo"/>
                <w:noProof/>
              </w:rPr>
              <w:t>Bloque 10 — Cruce de la base actualizable con el BDX (sección 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431A1" w14:textId="147F8BA9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76" w:history="1">
            <w:r w:rsidRPr="00922364">
              <w:rPr>
                <w:rStyle w:val="Hipervnculo"/>
                <w:noProof/>
              </w:rPr>
              <w:t>Bloque 11 — Unión de base actualizable y base mensual (sección 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0C10A" w14:textId="32FE5783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77" w:history="1">
            <w:r w:rsidRPr="00922364">
              <w:rPr>
                <w:rStyle w:val="Hipervnculo"/>
                <w:noProof/>
              </w:rPr>
              <w:t>Bloque 12 — Segunda validación: fechas y deducible (secciones 12 y 12b)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A550D" w14:textId="335F5BD7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78" w:history="1">
            <w:r w:rsidRPr="00922364">
              <w:rPr>
                <w:rStyle w:val="Hipervnculo"/>
                <w:noProof/>
              </w:rPr>
              <w:t>Bloque 13 — Reintegro de legacy y formato final (sección 13)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DCB4F" w14:textId="275B3F05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79" w:history="1">
            <w:r w:rsidRPr="00922364">
              <w:rPr>
                <w:rStyle w:val="Hipervnculo"/>
                <w:noProof/>
              </w:rPr>
              <w:t>Bloque 14 — Exportación (sección 14)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D6BA5" w14:textId="76337173" w:rsidR="007A6A91" w:rsidRDefault="007A6A9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6735080" w:history="1">
            <w:r w:rsidRPr="00922364">
              <w:rPr>
                <w:rStyle w:val="Hipervnculo"/>
                <w:noProof/>
              </w:rPr>
              <w:t>5. Programa 2 — Actualización Contable Marine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75987" w14:textId="625DCAC3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81" w:history="1">
            <w:r w:rsidRPr="00922364">
              <w:rPr>
                <w:rStyle w:val="Hipervnculo"/>
                <w:noProof/>
              </w:rPr>
              <w:t>Bloque 1 — Configuración y carga (secciones 1 a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27FE9" w14:textId="6B97CB99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82" w:history="1">
            <w:r w:rsidRPr="00922364">
              <w:rPr>
                <w:rStyle w:val="Hipervnculo"/>
                <w:noProof/>
              </w:rPr>
              <w:t>Bloque 2 — Formato de la información contable (sección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1EEC0" w14:textId="57D384DF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83" w:history="1">
            <w:r w:rsidRPr="00922364">
              <w:rPr>
                <w:rStyle w:val="Hipervnculo"/>
                <w:noProof/>
              </w:rPr>
              <w:t>Bloque 3 — Cruce de la base con Contabilidad (sección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1252C" w14:textId="77753B93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84" w:history="1">
            <w:r w:rsidRPr="00922364">
              <w:rPr>
                <w:rStyle w:val="Hipervnculo"/>
                <w:noProof/>
              </w:rPr>
              <w:t>Bloque 4 — Cálculo del OSLR (sección 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BF8B3" w14:textId="09CA37F3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85" w:history="1">
            <w:r w:rsidRPr="00922364">
              <w:rPr>
                <w:rStyle w:val="Hipervnculo"/>
                <w:noProof/>
              </w:rPr>
              <w:t>Bloque 5 — Validación de OSLR y fechas (sección 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0E48F" w14:textId="6185CAE0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86" w:history="1">
            <w:r w:rsidRPr="00922364">
              <w:rPr>
                <w:rStyle w:val="Hipervnculo"/>
                <w:noProof/>
              </w:rPr>
              <w:t>Bloque 6 — Validación empírica del OSLR (sección 7.5)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D339E" w14:textId="06528A5D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87" w:history="1">
            <w:r w:rsidRPr="00922364">
              <w:rPr>
                <w:rStyle w:val="Hipervnculo"/>
                <w:noProof/>
              </w:rPr>
              <w:t>Bloque 7 — Ajustes finales (sección 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1FCEF" w14:textId="63624BE9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88" w:history="1">
            <w:r w:rsidRPr="00922364">
              <w:rPr>
                <w:rStyle w:val="Hipervnculo"/>
                <w:noProof/>
              </w:rPr>
              <w:t>Bloque 8 — Validación de pagos y exportación (secciones 8 y 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109B6" w14:textId="0AE94863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89" w:history="1">
            <w:r w:rsidRPr="00922364">
              <w:rPr>
                <w:rStyle w:val="Hipervnculo"/>
                <w:noProof/>
              </w:rPr>
              <w:t>Bloque 9 — Validación OSLR contra BDX (sección 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E3706" w14:textId="492DDE3F" w:rsidR="007A6A91" w:rsidRDefault="007A6A9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6735090" w:history="1">
            <w:r w:rsidRPr="00922364">
              <w:rPr>
                <w:rStyle w:val="Hipervnculo"/>
                <w:noProof/>
              </w:rPr>
              <w:t>6. Programa 3 — Validaciones Contables Marine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1CBF4" w14:textId="6858313A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91" w:history="1">
            <w:r w:rsidRPr="00922364">
              <w:rPr>
                <w:rStyle w:val="Hipervnculo"/>
                <w:noProof/>
              </w:rPr>
              <w:t>Bloque 1 — Configuración (secciones 1 a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A2342" w14:textId="5EF0BBC8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92" w:history="1">
            <w:r w:rsidRPr="00922364">
              <w:rPr>
                <w:rStyle w:val="Hipervnculo"/>
                <w:noProof/>
              </w:rPr>
              <w:t>Bloque 2 — Preparación de datos (sección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79016" w14:textId="33477B53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93" w:history="1">
            <w:r w:rsidRPr="00922364">
              <w:rPr>
                <w:rStyle w:val="Hipervnculo"/>
                <w:noProof/>
              </w:rPr>
              <w:t>Bloque 3 — Validación de OSLR (sección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F9886" w14:textId="61BA8ED8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94" w:history="1">
            <w:r w:rsidRPr="00922364">
              <w:rPr>
                <w:rStyle w:val="Hipervnculo"/>
                <w:noProof/>
              </w:rPr>
              <w:t>Bloque 4 — Validación de pagos (sección 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B222D" w14:textId="304209D0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95" w:history="1">
            <w:r w:rsidRPr="00922364">
              <w:rPr>
                <w:rStyle w:val="Hipervnculo"/>
                <w:noProof/>
              </w:rPr>
              <w:t>Bloque 5 — Exportación (sección 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AD57D" w14:textId="1C7B0084" w:rsidR="007A6A91" w:rsidRDefault="007A6A9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6735096" w:history="1">
            <w:r w:rsidRPr="00922364">
              <w:rPr>
                <w:rStyle w:val="Hipervnculo"/>
                <w:noProof/>
              </w:rPr>
              <w:t>7. Programa 4 — Limpieza de Datos Marine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CFEA3" w14:textId="2E41A41A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97" w:history="1">
            <w:r w:rsidRPr="00922364">
              <w:rPr>
                <w:rStyle w:val="Hipervnculo"/>
                <w:noProof/>
              </w:rPr>
              <w:t>Bloque 1 — Carga y preparación (secciones 1 a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1B882" w14:textId="110F906F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98" w:history="1">
            <w:r w:rsidRPr="00922364">
              <w:rPr>
                <w:rStyle w:val="Hipervnculo"/>
                <w:noProof/>
              </w:rPr>
              <w:t>Bloque 2 — Tratamiento de nulos y herencia (sección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058D2" w14:textId="72BEF20A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099" w:history="1">
            <w:r w:rsidRPr="00922364">
              <w:rPr>
                <w:rStyle w:val="Hipervnculo"/>
                <w:noProof/>
              </w:rPr>
              <w:t>Bloque 3 — Limpieza por columna (sección 3, continuación)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C6B65" w14:textId="30B22DBA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100" w:history="1">
            <w:r w:rsidRPr="00922364">
              <w:rPr>
                <w:rStyle w:val="Hipervnculo"/>
                <w:noProof/>
              </w:rPr>
              <w:t>Bloque 4 — Validación de STATUS (sección 3, continuación)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0EC3D" w14:textId="65905320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101" w:history="1">
            <w:r w:rsidRPr="00922364">
              <w:rPr>
                <w:rStyle w:val="Hipervnculo"/>
                <w:noProof/>
              </w:rPr>
              <w:t>Bloque 5 — Clasificador de ubicaciones (sección 3.2)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3C53C" w14:textId="0DF99C68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102" w:history="1">
            <w:r w:rsidRPr="00922364">
              <w:rPr>
                <w:rStyle w:val="Hipervnculo"/>
                <w:noProof/>
              </w:rPr>
              <w:t>Bloque 6 — Duplicados (sección 3.3)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29046" w14:textId="1FA5C18F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103" w:history="1">
            <w:r w:rsidRPr="00922364">
              <w:rPr>
                <w:rStyle w:val="Hipervnculo"/>
                <w:noProof/>
              </w:rPr>
              <w:t>Bloque 7 — Exportación (sección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5A279" w14:textId="65AB7DB8" w:rsidR="007A6A91" w:rsidRDefault="007A6A9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6735104" w:history="1">
            <w:r w:rsidRPr="00922364">
              <w:rPr>
                <w:rStyle w:val="Hipervnculo"/>
                <w:noProof/>
              </w:rPr>
              <w:t>8. Programa 5 — Actualización de Tablas Marine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6DC04" w14:textId="1A5F5692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105" w:history="1">
            <w:r w:rsidRPr="00922364">
              <w:rPr>
                <w:rStyle w:val="Hipervnculo"/>
                <w:noProof/>
              </w:rPr>
              <w:t>Las dos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35A0C" w14:textId="1A955E50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106" w:history="1">
            <w:r w:rsidRPr="00922364">
              <w:rPr>
                <w:rStyle w:val="Hipervnculo"/>
                <w:noProof/>
              </w:rPr>
              <w:t>Bloque 1 — Conexiones (sección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25AF8" w14:textId="112BEF52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107" w:history="1">
            <w:r w:rsidRPr="00922364">
              <w:rPr>
                <w:rStyle w:val="Hipervnculo"/>
                <w:noProof/>
              </w:rPr>
              <w:t>Bloque 2 — Carga y limpieza opcional (sección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8C96B" w14:textId="72F7968F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108" w:history="1">
            <w:r w:rsidRPr="00922364">
              <w:rPr>
                <w:rStyle w:val="Hipervnculo"/>
                <w:noProof/>
              </w:rPr>
              <w:t xml:space="preserve">Bloque 3 — Carga de </w:t>
            </w:r>
            <w:r w:rsidRPr="00922364">
              <w:rPr>
                <w:rStyle w:val="Hipervnculo"/>
                <w:rFonts w:ascii="Consolas" w:hAnsi="Consolas"/>
                <w:noProof/>
              </w:rPr>
              <w:t>transporte</w:t>
            </w:r>
            <w:r w:rsidRPr="00922364">
              <w:rPr>
                <w:rStyle w:val="Hipervnculo"/>
                <w:noProof/>
              </w:rPr>
              <w:t xml:space="preserve"> (sección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3C1E0" w14:textId="4FCE16CB" w:rsidR="007A6A91" w:rsidRDefault="007A6A9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735109" w:history="1">
            <w:r w:rsidRPr="00922364">
              <w:rPr>
                <w:rStyle w:val="Hipervnculo"/>
                <w:noProof/>
              </w:rPr>
              <w:t xml:space="preserve">Bloque 4 — Carga de </w:t>
            </w:r>
            <w:r w:rsidRPr="00922364">
              <w:rPr>
                <w:rStyle w:val="Hipervnculo"/>
                <w:rFonts w:ascii="Consolas" w:hAnsi="Consolas"/>
                <w:noProof/>
              </w:rPr>
              <w:t>transportehist</w:t>
            </w:r>
            <w:r w:rsidRPr="00922364">
              <w:rPr>
                <w:rStyle w:val="Hipervnculo"/>
                <w:noProof/>
              </w:rPr>
              <w:t xml:space="preserve"> (sección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16419" w14:textId="5B751CCE" w:rsidR="007A6A91" w:rsidRDefault="007A6A9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6735110" w:history="1">
            <w:r w:rsidRPr="00922364">
              <w:rPr>
                <w:rStyle w:val="Hipervnculo"/>
                <w:noProof/>
              </w:rPr>
              <w:t>9. Checklist mensual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9F5FD" w14:textId="32DC7A71" w:rsidR="007A6A91" w:rsidRDefault="007A6A9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6735111" w:history="1">
            <w:r w:rsidRPr="00922364">
              <w:rPr>
                <w:rStyle w:val="Hipervnculo"/>
                <w:noProof/>
              </w:rPr>
              <w:t>10. Archivos que genera 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EBBC3" w14:textId="223E2C82" w:rsidR="007A6A91" w:rsidRDefault="007A6A9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6735112" w:history="1">
            <w:r w:rsidRPr="00922364">
              <w:rPr>
                <w:rStyle w:val="Hipervnculo"/>
                <w:noProof/>
              </w:rPr>
              <w:t>11. Qué hacer cuando algo falla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_Toc236735112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41AAD" w14:textId="0595DAF2" w:rsidR="00A80C7E" w:rsidRDefault="00000000">
          <w:r>
            <w:fldChar w:fldCharType="end"/>
          </w:r>
        </w:p>
      </w:sdtContent>
    </w:sdt>
    <w:p w14:paraId="73541AAE" w14:textId="77777777" w:rsidR="00A80C7E" w:rsidRDefault="00000000">
      <w:pPr>
        <w:pStyle w:val="Ttulo1"/>
      </w:pPr>
      <w:bookmarkStart w:id="0" w:name="para-qué-sirve-este-proceso"/>
      <w:bookmarkStart w:id="1" w:name="_Toc236735061"/>
      <w:r>
        <w:t>1. Para qué sirve este proceso</w:t>
      </w:r>
      <w:bookmarkEnd w:id="0"/>
      <w:bookmarkEnd w:id="1"/>
    </w:p>
    <w:p w14:paraId="73541AAF" w14:textId="77777777" w:rsidR="00A80C7E" w:rsidRDefault="00000000">
      <w:pPr>
        <w:pStyle w:val="FirstParagraph"/>
      </w:pPr>
      <w:r>
        <w:t xml:space="preserve">Cada mes, las aseguradoras cedentes (Inbursa, Atlas, Banorte, Mapfre) envían a Kot un reporte de siniestros llamado </w:t>
      </w:r>
      <w:r>
        <w:rPr>
          <w:b/>
        </w:rPr>
        <w:t>BDX</w:t>
      </w:r>
      <w:r>
        <w:t xml:space="preserve"> (bordereaux). Ese reporte dice, siniestro por siniestro, cuánto esperan pagar y cuánto ya pagaron.</w:t>
      </w:r>
    </w:p>
    <w:p w14:paraId="73541AB0" w14:textId="77777777" w:rsidR="00A80C7E" w:rsidRDefault="00000000">
      <w:pPr>
        <w:pStyle w:val="Textoindependiente"/>
      </w:pPr>
      <w:r>
        <w:t>Por otro lado, Contabilidad lleva su propio registro de los pagos que efectivamente salieron de caja.</w:t>
      </w:r>
    </w:p>
    <w:p w14:paraId="73541AB1" w14:textId="77777777" w:rsidR="00A80C7E" w:rsidRDefault="00000000">
      <w:pPr>
        <w:pStyle w:val="Textoindependiente"/>
      </w:pPr>
      <w:r>
        <w:t>El proceso Marine hace tres cosas:</w:t>
      </w:r>
    </w:p>
    <w:p w14:paraId="73541AB2" w14:textId="77777777" w:rsidR="00A80C7E" w:rsidRDefault="00000000">
      <w:pPr>
        <w:pStyle w:val="Compact"/>
        <w:numPr>
          <w:ilvl w:val="0"/>
          <w:numId w:val="2"/>
        </w:numPr>
      </w:pPr>
      <w:r>
        <w:rPr>
          <w:b/>
        </w:rPr>
        <w:lastRenderedPageBreak/>
        <w:t>Unifica</w:t>
      </w:r>
      <w:r>
        <w:t xml:space="preserve"> los BDX de todas las cedentes en una sola base con el mismo formato.</w:t>
      </w:r>
    </w:p>
    <w:p w14:paraId="73541AB3" w14:textId="77777777" w:rsidR="00A80C7E" w:rsidRDefault="00000000">
      <w:pPr>
        <w:pStyle w:val="Compact"/>
        <w:numPr>
          <w:ilvl w:val="0"/>
          <w:numId w:val="2"/>
        </w:numPr>
      </w:pPr>
      <w:r>
        <w:rPr>
          <w:b/>
        </w:rPr>
        <w:t>Actualiza</w:t>
      </w:r>
      <w:r>
        <w:t xml:space="preserve"> la base del mes anterior con la información nueva y calcula la </w:t>
      </w:r>
      <w:r>
        <w:rPr>
          <w:b/>
        </w:rPr>
        <w:t>reserva pendiente (OSLR)</w:t>
      </w:r>
      <w:r>
        <w:t xml:space="preserve"> de cada siniestro.</w:t>
      </w:r>
    </w:p>
    <w:p w14:paraId="73541AB4" w14:textId="77777777" w:rsidR="00A80C7E" w:rsidRDefault="00000000">
      <w:pPr>
        <w:pStyle w:val="Compact"/>
        <w:numPr>
          <w:ilvl w:val="0"/>
          <w:numId w:val="2"/>
        </w:numPr>
      </w:pPr>
      <w:r>
        <w:rPr>
          <w:b/>
        </w:rPr>
        <w:t>Valida</w:t>
      </w:r>
      <w:r>
        <w:t xml:space="preserve"> que lo que dice el BDX, lo que dice Contabilidad y lo que calculó el sistema coincidan; deja evidencia en Excel de cada diferencia.</w:t>
      </w:r>
    </w:p>
    <w:p w14:paraId="73541AB5" w14:textId="77777777" w:rsidR="00A80C7E" w:rsidRDefault="00000000">
      <w:pPr>
        <w:pStyle w:val="FirstParagraph"/>
      </w:pPr>
      <w:r>
        <w:t>El resultado final es la base de siniestros del mes, que se publica en Excel y se carga a la base de datos SQL que alimenta los reportes y dashboards.</w:t>
      </w:r>
    </w:p>
    <w:p w14:paraId="73541AB6" w14:textId="77777777" w:rsidR="00A80C7E" w:rsidRDefault="00000000">
      <w:pPr>
        <w:pStyle w:val="Textodebloque"/>
      </w:pPr>
      <w:r>
        <w:rPr>
          <w:b/>
        </w:rPr>
        <w:t>Regla de oro del proceso:</w:t>
      </w:r>
      <w:r>
        <w:t xml:space="preserve"> nunca se sobrescribe información sin dejar rastro. Cada ajuste automático genera un archivo de auditoría en la carpeta </w:t>
      </w:r>
      <w:r>
        <w:rPr>
          <w:rStyle w:val="VerbatimChar"/>
        </w:rPr>
        <w:t>Incidencias</w:t>
      </w:r>
      <w:r>
        <w:t>.</w:t>
      </w:r>
    </w:p>
    <w:p w14:paraId="73541AB7" w14:textId="77777777" w:rsidR="00A80C7E" w:rsidRDefault="00000000">
      <w:r>
        <w:pict w14:anchorId="73541C96">
          <v:rect id="_x0000_i1025" style="width:0;height:1.5pt" o:hralign="center" o:hrstd="t" o:hr="t"/>
        </w:pict>
      </w:r>
    </w:p>
    <w:p w14:paraId="73541AB8" w14:textId="77777777" w:rsidR="00A80C7E" w:rsidRDefault="00000000">
      <w:pPr>
        <w:pStyle w:val="Ttulo1"/>
      </w:pPr>
      <w:bookmarkStart w:id="2" w:name="glosario-leer-antes-que-nada"/>
      <w:bookmarkStart w:id="3" w:name="_Toc236735062"/>
      <w:r>
        <w:t>2. Glosario (leer antes que nada)</w:t>
      </w:r>
      <w:bookmarkEnd w:id="2"/>
      <w:bookmarkEnd w:id="3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989"/>
        <w:gridCol w:w="7065"/>
      </w:tblGrid>
      <w:tr w:rsidR="00A80C7E" w14:paraId="73541AB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3541AB9" w14:textId="77777777" w:rsidR="00A80C7E" w:rsidRDefault="00000000">
            <w:pPr>
              <w:pStyle w:val="Compact"/>
            </w:pPr>
            <w:r>
              <w:t>Término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3541ABA" w14:textId="77777777" w:rsidR="00A80C7E" w:rsidRDefault="00000000">
            <w:pPr>
              <w:pStyle w:val="Compact"/>
            </w:pPr>
            <w:r>
              <w:t>Qué significa en palabras simples</w:t>
            </w:r>
          </w:p>
        </w:tc>
      </w:tr>
      <w:tr w:rsidR="00A80C7E" w14:paraId="73541ABE" w14:textId="77777777">
        <w:tc>
          <w:tcPr>
            <w:tcW w:w="0" w:type="auto"/>
          </w:tcPr>
          <w:p w14:paraId="73541ABC" w14:textId="77777777" w:rsidR="00A80C7E" w:rsidRDefault="00000000">
            <w:pPr>
              <w:pStyle w:val="Compact"/>
            </w:pPr>
            <w:r>
              <w:rPr>
                <w:b/>
              </w:rPr>
              <w:t>BDX / Bordereaux</w:t>
            </w:r>
          </w:p>
        </w:tc>
        <w:tc>
          <w:tcPr>
            <w:tcW w:w="0" w:type="auto"/>
          </w:tcPr>
          <w:p w14:paraId="73541ABD" w14:textId="77777777" w:rsidR="00A80C7E" w:rsidRDefault="00000000">
            <w:pPr>
              <w:pStyle w:val="Compact"/>
            </w:pPr>
            <w:r>
              <w:t>Reporte mensual en Excel que manda la aseguradora cedente con el detalle de sus siniestros. Es el insumo principal.</w:t>
            </w:r>
          </w:p>
        </w:tc>
      </w:tr>
      <w:tr w:rsidR="00A80C7E" w14:paraId="73541AC1" w14:textId="77777777">
        <w:tc>
          <w:tcPr>
            <w:tcW w:w="0" w:type="auto"/>
          </w:tcPr>
          <w:p w14:paraId="73541ABF" w14:textId="77777777" w:rsidR="00A80C7E" w:rsidRDefault="00000000">
            <w:pPr>
              <w:pStyle w:val="Compact"/>
            </w:pPr>
            <w:r>
              <w:rPr>
                <w:b/>
              </w:rPr>
              <w:t>Cedente</w:t>
            </w:r>
          </w:p>
        </w:tc>
        <w:tc>
          <w:tcPr>
            <w:tcW w:w="0" w:type="auto"/>
          </w:tcPr>
          <w:p w14:paraId="73541AC0" w14:textId="77777777" w:rsidR="00A80C7E" w:rsidRDefault="00000000">
            <w:pPr>
              <w:pStyle w:val="Compact"/>
            </w:pPr>
            <w:r>
              <w:t>La aseguradora que le cede el riesgo a Kot (Inbursa, Atlas, Banorte, Mapfre).</w:t>
            </w:r>
          </w:p>
        </w:tc>
      </w:tr>
      <w:tr w:rsidR="00A80C7E" w14:paraId="73541AC4" w14:textId="77777777">
        <w:tc>
          <w:tcPr>
            <w:tcW w:w="0" w:type="auto"/>
          </w:tcPr>
          <w:p w14:paraId="73541AC2" w14:textId="77777777" w:rsidR="00A80C7E" w:rsidRDefault="00000000">
            <w:pPr>
              <w:pStyle w:val="Compact"/>
            </w:pPr>
            <w:r>
              <w:rPr>
                <w:b/>
              </w:rPr>
              <w:t>CLAIM NUMBER</w:t>
            </w:r>
          </w:p>
        </w:tc>
        <w:tc>
          <w:tcPr>
            <w:tcW w:w="0" w:type="auto"/>
          </w:tcPr>
          <w:p w14:paraId="73541AC3" w14:textId="77777777" w:rsidR="00A80C7E" w:rsidRDefault="00000000">
            <w:pPr>
              <w:pStyle w:val="Compact"/>
            </w:pPr>
            <w:r>
              <w:t>Número de siniestro. Es el identificador principal de cada caso.</w:t>
            </w:r>
          </w:p>
        </w:tc>
      </w:tr>
      <w:tr w:rsidR="00A80C7E" w14:paraId="73541AC7" w14:textId="77777777">
        <w:tc>
          <w:tcPr>
            <w:tcW w:w="0" w:type="auto"/>
          </w:tcPr>
          <w:p w14:paraId="73541AC5" w14:textId="77777777" w:rsidR="00A80C7E" w:rsidRDefault="00000000">
            <w:pPr>
              <w:pStyle w:val="Compact"/>
            </w:pPr>
            <w:r>
              <w:rPr>
                <w:b/>
              </w:rPr>
              <w:t>GROSS RESERVE</w:t>
            </w:r>
          </w:p>
        </w:tc>
        <w:tc>
          <w:tcPr>
            <w:tcW w:w="0" w:type="auto"/>
          </w:tcPr>
          <w:p w14:paraId="73541AC6" w14:textId="77777777" w:rsidR="00A80C7E" w:rsidRDefault="00000000">
            <w:pPr>
              <w:pStyle w:val="Compact"/>
            </w:pPr>
            <w:r>
              <w:t>Reserva bruta: lo que la cedente estima que costará el siniestro completo.</w:t>
            </w:r>
          </w:p>
        </w:tc>
      </w:tr>
      <w:tr w:rsidR="00A80C7E" w14:paraId="73541ACA" w14:textId="77777777">
        <w:tc>
          <w:tcPr>
            <w:tcW w:w="0" w:type="auto"/>
          </w:tcPr>
          <w:p w14:paraId="73541AC8" w14:textId="77777777" w:rsidR="00A80C7E" w:rsidRDefault="00000000">
            <w:pPr>
              <w:pStyle w:val="Compact"/>
            </w:pPr>
            <w:r>
              <w:rPr>
                <w:b/>
              </w:rPr>
              <w:t>DEDUCTIBLE</w:t>
            </w:r>
          </w:p>
        </w:tc>
        <w:tc>
          <w:tcPr>
            <w:tcW w:w="0" w:type="auto"/>
          </w:tcPr>
          <w:p w14:paraId="73541AC9" w14:textId="77777777" w:rsidR="00A80C7E" w:rsidRDefault="00000000">
            <w:pPr>
              <w:pStyle w:val="Compact"/>
            </w:pPr>
            <w:r>
              <w:t>Deducible: la parte que absorbe el asegurado y que no se le paga.</w:t>
            </w:r>
          </w:p>
        </w:tc>
      </w:tr>
      <w:tr w:rsidR="00A80C7E" w14:paraId="73541ACD" w14:textId="77777777">
        <w:tc>
          <w:tcPr>
            <w:tcW w:w="0" w:type="auto"/>
          </w:tcPr>
          <w:p w14:paraId="73541ACB" w14:textId="77777777" w:rsidR="00A80C7E" w:rsidRDefault="00000000">
            <w:pPr>
              <w:pStyle w:val="Compact"/>
            </w:pPr>
            <w:r>
              <w:rPr>
                <w:b/>
              </w:rPr>
              <w:t>OSLR</w:t>
            </w:r>
          </w:p>
        </w:tc>
        <w:tc>
          <w:tcPr>
            <w:tcW w:w="0" w:type="auto"/>
          </w:tcPr>
          <w:p w14:paraId="73541ACC" w14:textId="77777777" w:rsidR="00A80C7E" w:rsidRDefault="00000000">
            <w:pPr>
              <w:pStyle w:val="Compact"/>
            </w:pPr>
            <w:r>
              <w:rPr>
                <w:i/>
              </w:rPr>
              <w:t>Outstanding Loss Reserve</w:t>
            </w:r>
            <w:r>
              <w:t xml:space="preserve"> — la reserva que </w:t>
            </w:r>
            <w:r>
              <w:rPr>
                <w:b/>
              </w:rPr>
              <w:t>todavía está pendiente de pagar</w:t>
            </w:r>
            <w:r>
              <w:t>. Es el número más importante del proceso. Se calcula como: reserva bruta − deducible − lo ya pagado (y nunca es negativo).</w:t>
            </w:r>
          </w:p>
        </w:tc>
      </w:tr>
      <w:tr w:rsidR="00A80C7E" w14:paraId="73541AD0" w14:textId="77777777">
        <w:tc>
          <w:tcPr>
            <w:tcW w:w="0" w:type="auto"/>
          </w:tcPr>
          <w:p w14:paraId="73541ACE" w14:textId="77777777" w:rsidR="00A80C7E" w:rsidRDefault="00000000">
            <w:pPr>
              <w:pStyle w:val="Compact"/>
            </w:pPr>
            <w:r>
              <w:rPr>
                <w:b/>
              </w:rPr>
              <w:t>Net Reserve (USD)</w:t>
            </w:r>
          </w:p>
        </w:tc>
        <w:tc>
          <w:tcPr>
            <w:tcW w:w="0" w:type="auto"/>
          </w:tcPr>
          <w:p w14:paraId="73541ACF" w14:textId="77777777" w:rsidR="00A80C7E" w:rsidRDefault="00000000">
            <w:pPr>
              <w:pStyle w:val="Compact"/>
            </w:pPr>
            <w:r>
              <w:t>Reserva neta que viene ya calculada en el BDX. Sirve para verificar el OSLR calculado.</w:t>
            </w:r>
          </w:p>
        </w:tc>
      </w:tr>
      <w:tr w:rsidR="00A80C7E" w14:paraId="73541AD3" w14:textId="77777777">
        <w:tc>
          <w:tcPr>
            <w:tcW w:w="0" w:type="auto"/>
          </w:tcPr>
          <w:p w14:paraId="73541AD1" w14:textId="77777777" w:rsidR="00A80C7E" w:rsidRDefault="00000000">
            <w:pPr>
              <w:pStyle w:val="Compact"/>
            </w:pPr>
            <w:r>
              <w:rPr>
                <w:b/>
              </w:rPr>
              <w:t>LoB-Inward</w:t>
            </w:r>
          </w:p>
        </w:tc>
        <w:tc>
          <w:tcPr>
            <w:tcW w:w="0" w:type="auto"/>
          </w:tcPr>
          <w:p w14:paraId="73541AD2" w14:textId="77777777" w:rsidR="00A80C7E" w:rsidRDefault="00000000">
            <w:pPr>
              <w:pStyle w:val="Compact"/>
            </w:pPr>
            <w:r>
              <w:t>Línea de negocio del siniestro, ya estandarizada (CASCO Y MAQ., P&amp;I, CARGA, etc.).</w:t>
            </w:r>
          </w:p>
        </w:tc>
      </w:tr>
      <w:tr w:rsidR="00A80C7E" w14:paraId="73541AD6" w14:textId="77777777">
        <w:tc>
          <w:tcPr>
            <w:tcW w:w="0" w:type="auto"/>
          </w:tcPr>
          <w:p w14:paraId="73541AD4" w14:textId="77777777" w:rsidR="00A80C7E" w:rsidRDefault="00000000">
            <w:pPr>
              <w:pStyle w:val="Compact"/>
            </w:pPr>
            <w:r>
              <w:rPr>
                <w:b/>
              </w:rPr>
              <w:t>COVER / COVERAGE</w:t>
            </w:r>
          </w:p>
        </w:tc>
        <w:tc>
          <w:tcPr>
            <w:tcW w:w="0" w:type="auto"/>
          </w:tcPr>
          <w:p w14:paraId="73541AD5" w14:textId="77777777" w:rsidR="00A80C7E" w:rsidRDefault="00000000">
            <w:pPr>
              <w:pStyle w:val="Compact"/>
            </w:pPr>
            <w:r>
              <w:t>Cobertura tal como viene escrita en el BDX, antes de estandarizar. Suele venir con erratas y variantes.</w:t>
            </w:r>
          </w:p>
        </w:tc>
      </w:tr>
      <w:tr w:rsidR="00A80C7E" w14:paraId="73541AD9" w14:textId="77777777">
        <w:tc>
          <w:tcPr>
            <w:tcW w:w="0" w:type="auto"/>
          </w:tcPr>
          <w:p w14:paraId="73541AD7" w14:textId="77777777" w:rsidR="00A80C7E" w:rsidRDefault="00000000">
            <w:pPr>
              <w:pStyle w:val="Compact"/>
            </w:pPr>
            <w:r>
              <w:rPr>
                <w:b/>
              </w:rPr>
              <w:t>KEY LOB</w:t>
            </w:r>
          </w:p>
        </w:tc>
        <w:tc>
          <w:tcPr>
            <w:tcW w:w="0" w:type="auto"/>
          </w:tcPr>
          <w:p w14:paraId="73541AD8" w14:textId="77777777" w:rsidR="00A80C7E" w:rsidRDefault="00000000">
            <w:pPr>
              <w:pStyle w:val="Compact"/>
            </w:pPr>
            <w:r w:rsidRPr="007A6A91">
              <w:rPr>
                <w:lang w:val="en-US"/>
              </w:rPr>
              <w:t xml:space="preserve">Llave de </w:t>
            </w:r>
            <w:proofErr w:type="spellStart"/>
            <w:r w:rsidRPr="007A6A91">
              <w:rPr>
                <w:lang w:val="en-US"/>
              </w:rPr>
              <w:t>cruce</w:t>
            </w:r>
            <w:proofErr w:type="spellEnd"/>
            <w:r w:rsidRPr="007A6A91">
              <w:rPr>
                <w:lang w:val="en-US"/>
              </w:rPr>
              <w:t xml:space="preserve"> = </w:t>
            </w:r>
            <w:r w:rsidRPr="007A6A91">
              <w:rPr>
                <w:rStyle w:val="VerbatimChar"/>
                <w:lang w:val="en-US"/>
              </w:rPr>
              <w:t>CLAIM NUMBER</w:t>
            </w:r>
            <w:r w:rsidRPr="007A6A91">
              <w:rPr>
                <w:lang w:val="en-US"/>
              </w:rPr>
              <w:t xml:space="preserve"> + </w:t>
            </w:r>
            <w:proofErr w:type="spellStart"/>
            <w:r w:rsidRPr="007A6A91">
              <w:rPr>
                <w:rStyle w:val="VerbatimChar"/>
                <w:lang w:val="en-US"/>
              </w:rPr>
              <w:t>LoB</w:t>
            </w:r>
            <w:proofErr w:type="spellEnd"/>
            <w:r w:rsidRPr="007A6A91">
              <w:rPr>
                <w:rStyle w:val="VerbatimChar"/>
                <w:lang w:val="en-US"/>
              </w:rPr>
              <w:t>-Inward</w:t>
            </w:r>
            <w:r w:rsidRPr="007A6A91">
              <w:rPr>
                <w:lang w:val="en-US"/>
              </w:rPr>
              <w:t xml:space="preserve">. </w:t>
            </w:r>
            <w:r>
              <w:t>Se usa para casar la base con la información contable.</w:t>
            </w:r>
          </w:p>
        </w:tc>
      </w:tr>
      <w:tr w:rsidR="00A80C7E" w14:paraId="73541ADC" w14:textId="77777777">
        <w:tc>
          <w:tcPr>
            <w:tcW w:w="0" w:type="auto"/>
          </w:tcPr>
          <w:p w14:paraId="73541ADA" w14:textId="77777777" w:rsidR="00A80C7E" w:rsidRDefault="00000000">
            <w:pPr>
              <w:pStyle w:val="Compact"/>
            </w:pPr>
            <w:r>
              <w:rPr>
                <w:b/>
              </w:rPr>
              <w:t>KEY DED</w:t>
            </w:r>
          </w:p>
        </w:tc>
        <w:tc>
          <w:tcPr>
            <w:tcW w:w="0" w:type="auto"/>
          </w:tcPr>
          <w:p w14:paraId="73541ADB" w14:textId="77777777" w:rsidR="00A80C7E" w:rsidRDefault="00000000">
            <w:pPr>
              <w:pStyle w:val="Compact"/>
            </w:pPr>
            <w:r>
              <w:t>Llave de cruce que incluye el deducible. Se usa cuando un mismo siniestro tiene varias capas de deducible.</w:t>
            </w:r>
          </w:p>
        </w:tc>
      </w:tr>
      <w:tr w:rsidR="00A80C7E" w14:paraId="73541ADF" w14:textId="77777777">
        <w:tc>
          <w:tcPr>
            <w:tcW w:w="0" w:type="auto"/>
          </w:tcPr>
          <w:p w14:paraId="73541ADD" w14:textId="77777777" w:rsidR="00A80C7E" w:rsidRDefault="00000000">
            <w:pPr>
              <w:pStyle w:val="Compact"/>
            </w:pPr>
            <w:r>
              <w:rPr>
                <w:b/>
              </w:rPr>
              <w:t>Legacy</w:t>
            </w:r>
          </w:p>
        </w:tc>
        <w:tc>
          <w:tcPr>
            <w:tcW w:w="0" w:type="auto"/>
          </w:tcPr>
          <w:p w14:paraId="73541ADE" w14:textId="77777777" w:rsidR="00A80C7E" w:rsidRDefault="00000000">
            <w:pPr>
              <w:pStyle w:val="Compact"/>
            </w:pPr>
            <w:r>
              <w:t xml:space="preserve">Pólizas antiguas que ya no reciben BDX. Su información se </w:t>
            </w:r>
            <w:r>
              <w:rPr>
                <w:b/>
              </w:rPr>
              <w:t>congela</w:t>
            </w:r>
            <w:r>
              <w:t>: no se recalcula, solo se arrastra.</w:t>
            </w:r>
          </w:p>
        </w:tc>
      </w:tr>
      <w:tr w:rsidR="00A80C7E" w14:paraId="73541AE2" w14:textId="77777777">
        <w:tc>
          <w:tcPr>
            <w:tcW w:w="0" w:type="auto"/>
          </w:tcPr>
          <w:p w14:paraId="73541AE0" w14:textId="77777777" w:rsidR="00A80C7E" w:rsidRDefault="00000000">
            <w:pPr>
              <w:pStyle w:val="Compact"/>
            </w:pPr>
            <w:r>
              <w:rPr>
                <w:b/>
              </w:rPr>
              <w:t>Monthly</w:t>
            </w:r>
          </w:p>
        </w:tc>
        <w:tc>
          <w:tcPr>
            <w:tcW w:w="0" w:type="auto"/>
          </w:tcPr>
          <w:p w14:paraId="73541AE1" w14:textId="77777777" w:rsidR="00A80C7E" w:rsidRDefault="00000000">
            <w:pPr>
              <w:pStyle w:val="Compact"/>
            </w:pPr>
            <w:r>
              <w:t xml:space="preserve">Bandera: </w:t>
            </w:r>
            <w:r>
              <w:rPr>
                <w:rStyle w:val="VerbatimChar"/>
              </w:rPr>
              <w:t>1</w:t>
            </w:r>
            <w:r>
              <w:t xml:space="preserve"> = siniestro reportado por primera vez este mes; </w:t>
            </w:r>
            <w:r>
              <w:rPr>
                <w:rStyle w:val="VerbatimChar"/>
              </w:rPr>
              <w:t>0</w:t>
            </w:r>
            <w:r>
              <w:t xml:space="preserve"> = </w:t>
            </w:r>
            <w:r>
              <w:lastRenderedPageBreak/>
              <w:t>viene de meses anteriores.</w:t>
            </w:r>
          </w:p>
        </w:tc>
      </w:tr>
      <w:tr w:rsidR="00A80C7E" w14:paraId="73541AE5" w14:textId="77777777">
        <w:tc>
          <w:tcPr>
            <w:tcW w:w="0" w:type="auto"/>
          </w:tcPr>
          <w:p w14:paraId="73541AE3" w14:textId="77777777" w:rsidR="00A80C7E" w:rsidRDefault="00000000">
            <w:pPr>
              <w:pStyle w:val="Compact"/>
            </w:pPr>
            <w:r>
              <w:rPr>
                <w:b/>
              </w:rPr>
              <w:lastRenderedPageBreak/>
              <w:t>STATUS</w:t>
            </w:r>
          </w:p>
        </w:tc>
        <w:tc>
          <w:tcPr>
            <w:tcW w:w="0" w:type="auto"/>
          </w:tcPr>
          <w:p w14:paraId="73541AE4" w14:textId="77777777" w:rsidR="00A80C7E" w:rsidRDefault="00000000">
            <w:pPr>
              <w:pStyle w:val="Compact"/>
            </w:pPr>
            <w:r>
              <w:t xml:space="preserve">Estado del siniestro: </w:t>
            </w:r>
            <w:r>
              <w:rPr>
                <w:rStyle w:val="VerbatimChar"/>
              </w:rPr>
              <w:t>P</w:t>
            </w:r>
            <w:r>
              <w:t xml:space="preserve"> (pagado/cerrado por pago), </w:t>
            </w:r>
            <w:r>
              <w:rPr>
                <w:rStyle w:val="VerbatimChar"/>
              </w:rPr>
              <w:t>C</w:t>
            </w:r>
            <w:r>
              <w:t xml:space="preserve"> (cancelado), </w:t>
            </w:r>
            <w:r>
              <w:rPr>
                <w:rStyle w:val="VerbatimChar"/>
              </w:rPr>
              <w:t>T</w:t>
            </w:r>
            <w:r>
              <w:t xml:space="preserve"> (abierto con reserva).</w:t>
            </w:r>
          </w:p>
        </w:tc>
      </w:tr>
      <w:tr w:rsidR="00A80C7E" w14:paraId="73541AE8" w14:textId="77777777">
        <w:tc>
          <w:tcPr>
            <w:tcW w:w="0" w:type="auto"/>
          </w:tcPr>
          <w:p w14:paraId="73541AE6" w14:textId="77777777" w:rsidR="00A80C7E" w:rsidRDefault="00000000">
            <w:pPr>
              <w:pStyle w:val="Compact"/>
            </w:pPr>
            <w:r>
              <w:rPr>
                <w:b/>
              </w:rPr>
              <w:t>Incurred</w:t>
            </w:r>
          </w:p>
        </w:tc>
        <w:tc>
          <w:tcPr>
            <w:tcW w:w="0" w:type="auto"/>
          </w:tcPr>
          <w:p w14:paraId="73541AE7" w14:textId="77777777" w:rsidR="00A80C7E" w:rsidRDefault="00000000">
            <w:pPr>
              <w:pStyle w:val="Compact"/>
            </w:pPr>
            <w:r>
              <w:t>Costo total del siniestro = lo pagado + lo que queda reservado.</w:t>
            </w:r>
          </w:p>
        </w:tc>
      </w:tr>
      <w:tr w:rsidR="00A80C7E" w14:paraId="73541AEB" w14:textId="77777777">
        <w:tc>
          <w:tcPr>
            <w:tcW w:w="0" w:type="auto"/>
          </w:tcPr>
          <w:p w14:paraId="73541AE9" w14:textId="77777777" w:rsidR="00A80C7E" w:rsidRDefault="00000000">
            <w:pPr>
              <w:pStyle w:val="Compact"/>
            </w:pPr>
            <w:r>
              <w:rPr>
                <w:b/>
              </w:rPr>
              <w:t>Zereo (zerear)</w:t>
            </w:r>
          </w:p>
        </w:tc>
        <w:tc>
          <w:tcPr>
            <w:tcW w:w="0" w:type="auto"/>
          </w:tcPr>
          <w:p w14:paraId="73541AEA" w14:textId="77777777" w:rsidR="00A80C7E" w:rsidRDefault="00000000">
            <w:pPr>
              <w:pStyle w:val="Compact"/>
            </w:pPr>
            <w:r>
              <w:t>Poner el OSLR en cero de forma deliberada, porque ya no hay nada pendiente por pagar.</w:t>
            </w:r>
          </w:p>
        </w:tc>
      </w:tr>
      <w:tr w:rsidR="00A80C7E" w14:paraId="73541AEE" w14:textId="77777777">
        <w:tc>
          <w:tcPr>
            <w:tcW w:w="0" w:type="auto"/>
          </w:tcPr>
          <w:p w14:paraId="73541AEC" w14:textId="77777777" w:rsidR="00A80C7E" w:rsidRDefault="00000000">
            <w:pPr>
              <w:pStyle w:val="Compact"/>
            </w:pPr>
            <w:r>
              <w:rPr>
                <w:b/>
              </w:rPr>
              <w:t>Payments (AE / CL / VA)</w:t>
            </w:r>
          </w:p>
        </w:tc>
        <w:tc>
          <w:tcPr>
            <w:tcW w:w="0" w:type="auto"/>
          </w:tcPr>
          <w:p w14:paraId="73541AED" w14:textId="77777777" w:rsidR="00A80C7E" w:rsidRDefault="00000000">
            <w:pPr>
              <w:pStyle w:val="Compact"/>
            </w:pPr>
            <w:r>
              <w:t xml:space="preserve">Archivo contable con tres hojas: </w:t>
            </w:r>
            <w:r>
              <w:rPr>
                <w:b/>
              </w:rPr>
              <w:t>AE</w:t>
            </w:r>
            <w:r>
              <w:t xml:space="preserve"> = gastos pagados, </w:t>
            </w:r>
            <w:r>
              <w:rPr>
                <w:b/>
              </w:rPr>
              <w:t>CL</w:t>
            </w:r>
            <w:r>
              <w:t xml:space="preserve"> = siniestros pagados, </w:t>
            </w:r>
            <w:r>
              <w:rPr>
                <w:b/>
              </w:rPr>
              <w:t>VA</w:t>
            </w:r>
            <w:r>
              <w:t xml:space="preserve"> = gastos de valuación.</w:t>
            </w:r>
          </w:p>
        </w:tc>
      </w:tr>
    </w:tbl>
    <w:p w14:paraId="73541AEF" w14:textId="77777777" w:rsidR="00A80C7E" w:rsidRDefault="00000000">
      <w:r>
        <w:pict w14:anchorId="73541C97">
          <v:rect id="_x0000_i1026" style="width:0;height:1.5pt" o:hralign="center" o:hrstd="t" o:hr="t"/>
        </w:pict>
      </w:r>
    </w:p>
    <w:p w14:paraId="73541AF0" w14:textId="77777777" w:rsidR="00A80C7E" w:rsidRDefault="00000000">
      <w:pPr>
        <w:pStyle w:val="Ttulo1"/>
      </w:pPr>
      <w:bookmarkStart w:id="4" w:name="orden-de-ejecución"/>
      <w:bookmarkStart w:id="5" w:name="_Toc236735063"/>
      <w:r>
        <w:t>3. Orden de ejecución</w:t>
      </w:r>
      <w:bookmarkEnd w:id="4"/>
      <w:bookmarkEnd w:id="5"/>
    </w:p>
    <w:p w14:paraId="73541AF1" w14:textId="77777777" w:rsidR="00A80C7E" w:rsidRDefault="00000000">
      <w:pPr>
        <w:pStyle w:val="FirstParagraph"/>
      </w:pPr>
      <w:r>
        <w:t xml:space="preserve">Los cinco programas se corren </w:t>
      </w:r>
      <w:r>
        <w:rPr>
          <w:b/>
        </w:rPr>
        <w:t>en orden y una sola vez al mes</w:t>
      </w:r>
      <w:r>
        <w:t>. Cada uno depende del archivo que produjo el anterior.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365"/>
        <w:gridCol w:w="1718"/>
        <w:gridCol w:w="1553"/>
        <w:gridCol w:w="5418"/>
      </w:tblGrid>
      <w:tr w:rsidR="00A80C7E" w14:paraId="73541AF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3541AF2" w14:textId="77777777" w:rsidR="00A80C7E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3541AF3" w14:textId="77777777" w:rsidR="00A80C7E" w:rsidRDefault="00000000">
            <w:pPr>
              <w:pStyle w:val="Compact"/>
            </w:pPr>
            <w:r>
              <w:t>Programa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3541AF4" w14:textId="77777777" w:rsidR="00A80C7E" w:rsidRDefault="00000000">
            <w:pPr>
              <w:pStyle w:val="Compact"/>
            </w:pPr>
            <w:r>
              <w:t>Qué hace en una frase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3541AF5" w14:textId="77777777" w:rsidR="00A80C7E" w:rsidRDefault="00000000">
            <w:pPr>
              <w:pStyle w:val="Compact"/>
            </w:pPr>
            <w:r>
              <w:t>Produce</w:t>
            </w:r>
          </w:p>
        </w:tc>
      </w:tr>
      <w:tr w:rsidR="00A80C7E" w14:paraId="73541AFB" w14:textId="77777777">
        <w:tc>
          <w:tcPr>
            <w:tcW w:w="0" w:type="auto"/>
          </w:tcPr>
          <w:p w14:paraId="73541AF7" w14:textId="77777777" w:rsidR="00A80C7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3541AF8" w14:textId="77777777" w:rsidR="00A80C7E" w:rsidRDefault="00000000">
            <w:pPr>
              <w:pStyle w:val="Compact"/>
            </w:pPr>
            <w:r>
              <w:rPr>
                <w:b/>
              </w:rPr>
              <w:t>Carga de Bases Marine</w:t>
            </w:r>
          </w:p>
        </w:tc>
        <w:tc>
          <w:tcPr>
            <w:tcW w:w="0" w:type="auto"/>
          </w:tcPr>
          <w:p w14:paraId="73541AF9" w14:textId="77777777" w:rsidR="00A80C7E" w:rsidRDefault="00000000">
            <w:pPr>
              <w:pStyle w:val="Compact"/>
            </w:pPr>
            <w:r>
              <w:t>Lee todos los BDX y los cruza con la base del mes pasado.</w:t>
            </w:r>
          </w:p>
        </w:tc>
        <w:tc>
          <w:tcPr>
            <w:tcW w:w="0" w:type="auto"/>
          </w:tcPr>
          <w:p w14:paraId="73541AFA" w14:textId="77777777" w:rsidR="00A80C7E" w:rsidRDefault="00000000">
            <w:pPr>
              <w:pStyle w:val="Compact"/>
            </w:pPr>
            <w:r>
              <w:rPr>
                <w:rStyle w:val="VerbatimChar"/>
              </w:rPr>
              <w:t>bd_update.xlsx</w:t>
            </w:r>
            <w:r>
              <w:t xml:space="preserve"> / </w:t>
            </w:r>
            <w:r>
              <w:rPr>
                <w:rStyle w:val="VerbatimChar"/>
              </w:rPr>
              <w:t>.pkl</w:t>
            </w:r>
          </w:p>
        </w:tc>
      </w:tr>
      <w:tr w:rsidR="00A80C7E" w14:paraId="73541B00" w14:textId="77777777">
        <w:tc>
          <w:tcPr>
            <w:tcW w:w="0" w:type="auto"/>
          </w:tcPr>
          <w:p w14:paraId="73541AFC" w14:textId="77777777" w:rsidR="00A80C7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3541AFD" w14:textId="77777777" w:rsidR="00A80C7E" w:rsidRDefault="00000000">
            <w:pPr>
              <w:pStyle w:val="Compact"/>
            </w:pPr>
            <w:r>
              <w:rPr>
                <w:b/>
              </w:rPr>
              <w:t>Actualización Contable Marine</w:t>
            </w:r>
          </w:p>
        </w:tc>
        <w:tc>
          <w:tcPr>
            <w:tcW w:w="0" w:type="auto"/>
          </w:tcPr>
          <w:p w14:paraId="73541AFE" w14:textId="77777777" w:rsidR="00A80C7E" w:rsidRDefault="00000000">
            <w:pPr>
              <w:pStyle w:val="Compact"/>
            </w:pPr>
            <w:r>
              <w:t>Suma la información de Contabilidad y calcula el OSLR.</w:t>
            </w:r>
          </w:p>
        </w:tc>
        <w:tc>
          <w:tcPr>
            <w:tcW w:w="0" w:type="auto"/>
          </w:tcPr>
          <w:p w14:paraId="73541AFF" w14:textId="77777777" w:rsidR="00A80C7E" w:rsidRDefault="00000000">
            <w:pPr>
              <w:pStyle w:val="Compact"/>
            </w:pPr>
            <w:r>
              <w:rPr>
                <w:rStyle w:val="VerbatimChar"/>
              </w:rPr>
              <w:t>{AñoMes}_Siniestros_Marine.xlsx</w:t>
            </w:r>
          </w:p>
        </w:tc>
      </w:tr>
      <w:tr w:rsidR="00A80C7E" w14:paraId="73541B05" w14:textId="77777777">
        <w:tc>
          <w:tcPr>
            <w:tcW w:w="0" w:type="auto"/>
          </w:tcPr>
          <w:p w14:paraId="73541B01" w14:textId="77777777" w:rsidR="00A80C7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3541B02" w14:textId="77777777" w:rsidR="00A80C7E" w:rsidRDefault="00000000">
            <w:pPr>
              <w:pStyle w:val="Compact"/>
            </w:pPr>
            <w:r>
              <w:rPr>
                <w:b/>
              </w:rPr>
              <w:t>Validaciones Contables Marine</w:t>
            </w:r>
          </w:p>
        </w:tc>
        <w:tc>
          <w:tcPr>
            <w:tcW w:w="0" w:type="auto"/>
          </w:tcPr>
          <w:p w14:paraId="73541B03" w14:textId="77777777" w:rsidR="00A80C7E" w:rsidRDefault="00000000">
            <w:pPr>
              <w:pStyle w:val="Compact"/>
            </w:pPr>
            <w:r>
              <w:t>Compara la base contra Contabilidad y reporta diferencias.</w:t>
            </w:r>
          </w:p>
        </w:tc>
        <w:tc>
          <w:tcPr>
            <w:tcW w:w="0" w:type="auto"/>
          </w:tcPr>
          <w:p w14:paraId="73541B04" w14:textId="77777777" w:rsidR="00A80C7E" w:rsidRDefault="00000000">
            <w:pPr>
              <w:pStyle w:val="Compact"/>
            </w:pPr>
            <w:r>
              <w:rPr>
                <w:rStyle w:val="VerbatimChar"/>
              </w:rPr>
              <w:t>{AñoMes}_Validaciones_Contables_Marine.xlsx</w:t>
            </w:r>
          </w:p>
        </w:tc>
      </w:tr>
      <w:tr w:rsidR="00A80C7E" w14:paraId="73541B0A" w14:textId="77777777">
        <w:tc>
          <w:tcPr>
            <w:tcW w:w="0" w:type="auto"/>
          </w:tcPr>
          <w:p w14:paraId="73541B06" w14:textId="77777777" w:rsidR="00A80C7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3541B07" w14:textId="77777777" w:rsidR="00A80C7E" w:rsidRDefault="00000000">
            <w:pPr>
              <w:pStyle w:val="Compact"/>
            </w:pPr>
            <w:r>
              <w:rPr>
                <w:b/>
              </w:rPr>
              <w:t>Limpieza Datos Marine</w:t>
            </w:r>
          </w:p>
        </w:tc>
        <w:tc>
          <w:tcPr>
            <w:tcW w:w="0" w:type="auto"/>
          </w:tcPr>
          <w:p w14:paraId="73541B08" w14:textId="77777777" w:rsidR="00A80C7E" w:rsidRDefault="00000000">
            <w:pPr>
              <w:pStyle w:val="Compact"/>
            </w:pPr>
            <w:r>
              <w:t>Estandariza textos, resuelve duplicados y clasifica ubicaciones.</w:t>
            </w:r>
          </w:p>
        </w:tc>
        <w:tc>
          <w:tcPr>
            <w:tcW w:w="0" w:type="auto"/>
          </w:tcPr>
          <w:p w14:paraId="73541B09" w14:textId="77777777" w:rsidR="00A80C7E" w:rsidRDefault="00000000">
            <w:pPr>
              <w:pStyle w:val="Compact"/>
            </w:pPr>
            <w:r>
              <w:rPr>
                <w:rStyle w:val="VerbatimChar"/>
              </w:rPr>
              <w:t>{AñoMes}_Siniestros_Marine_PROCESADO.xlsx</w:t>
            </w:r>
          </w:p>
        </w:tc>
      </w:tr>
      <w:tr w:rsidR="00A80C7E" w14:paraId="73541B0F" w14:textId="77777777">
        <w:tc>
          <w:tcPr>
            <w:tcW w:w="0" w:type="auto"/>
          </w:tcPr>
          <w:p w14:paraId="73541B0B" w14:textId="77777777" w:rsidR="00A80C7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3541B0C" w14:textId="77777777" w:rsidR="00A80C7E" w:rsidRDefault="00000000">
            <w:pPr>
              <w:pStyle w:val="Compact"/>
            </w:pPr>
            <w:r>
              <w:rPr>
                <w:b/>
              </w:rPr>
              <w:t>Actualización de Tablas Marine</w:t>
            </w:r>
          </w:p>
        </w:tc>
        <w:tc>
          <w:tcPr>
            <w:tcW w:w="0" w:type="auto"/>
          </w:tcPr>
          <w:p w14:paraId="73541B0D" w14:textId="77777777" w:rsidR="00A80C7E" w:rsidRDefault="00000000">
            <w:pPr>
              <w:pStyle w:val="Compact"/>
            </w:pPr>
            <w:r>
              <w:t xml:space="preserve">Sube el resultado a SQL Server (Azure y </w:t>
            </w:r>
            <w:r>
              <w:lastRenderedPageBreak/>
              <w:t>local).</w:t>
            </w:r>
          </w:p>
        </w:tc>
        <w:tc>
          <w:tcPr>
            <w:tcW w:w="0" w:type="auto"/>
          </w:tcPr>
          <w:p w14:paraId="73541B0E" w14:textId="77777777" w:rsidR="00A80C7E" w:rsidRDefault="00000000">
            <w:pPr>
              <w:pStyle w:val="Compact"/>
            </w:pPr>
            <w:r>
              <w:lastRenderedPageBreak/>
              <w:t xml:space="preserve">Tablas </w:t>
            </w:r>
            <w:r>
              <w:rPr>
                <w:rStyle w:val="VerbatimChar"/>
              </w:rPr>
              <w:t>transporte</w:t>
            </w:r>
            <w:r>
              <w:t xml:space="preserve"> y </w:t>
            </w:r>
            <w:r>
              <w:rPr>
                <w:rStyle w:val="VerbatimChar"/>
              </w:rPr>
              <w:t>transportehist</w:t>
            </w:r>
          </w:p>
        </w:tc>
      </w:tr>
    </w:tbl>
    <w:p w14:paraId="73541B10" w14:textId="77777777" w:rsidR="00A80C7E" w:rsidRDefault="00000000">
      <w:pPr>
        <w:pStyle w:val="Ttulo2"/>
      </w:pPr>
      <w:bookmarkStart w:id="6" w:name="lo-único-que-hay-que-editar-cada-mes"/>
      <w:bookmarkStart w:id="7" w:name="_Toc236735064"/>
      <w:r>
        <w:t>Lo único que hay que editar cada mes</w:t>
      </w:r>
      <w:bookmarkEnd w:id="6"/>
      <w:bookmarkEnd w:id="7"/>
    </w:p>
    <w:p w14:paraId="73541B11" w14:textId="77777777" w:rsidR="00A80C7E" w:rsidRDefault="00000000">
      <w:pPr>
        <w:pStyle w:val="FirstParagraph"/>
      </w:pPr>
      <w:r>
        <w:t>En los programas 1, 2 y 3, al inicio de la sección “Path Definition and Macrovariables”:</w:t>
      </w:r>
    </w:p>
    <w:p w14:paraId="73541B12" w14:textId="77777777" w:rsidR="00A80C7E" w:rsidRDefault="00000000">
      <w:pPr>
        <w:pStyle w:val="SourceCode"/>
      </w:pPr>
      <w:r>
        <w:rPr>
          <w:rStyle w:val="NormalTok"/>
        </w:rPr>
        <w:t xml:space="preserve">AñoMes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202606</w:t>
      </w:r>
      <w:r>
        <w:rPr>
          <w:rStyle w:val="NormalTok"/>
        </w:rPr>
        <w:t xml:space="preserve">   </w:t>
      </w:r>
      <w:r>
        <w:rPr>
          <w:rStyle w:val="CommentTok"/>
        </w:rPr>
        <w:t># Periodo que se está cerrando</w:t>
      </w:r>
      <w:r>
        <w:br/>
      </w:r>
      <w:r>
        <w:rPr>
          <w:rStyle w:val="NormalTok"/>
        </w:rPr>
        <w:t xml:space="preserve">AñoMes_ant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202604</w:t>
      </w:r>
      <w:r>
        <w:rPr>
          <w:rStyle w:val="NormalTok"/>
        </w:rPr>
        <w:t xml:space="preserve">   </w:t>
      </w:r>
      <w:r>
        <w:rPr>
          <w:rStyle w:val="CommentTok"/>
        </w:rPr>
        <w:t># Último periodo con información procesada</w:t>
      </w:r>
    </w:p>
    <w:p w14:paraId="73541B13" w14:textId="77777777" w:rsidR="00A80C7E" w:rsidRDefault="00000000">
      <w:pPr>
        <w:pStyle w:val="FirstParagraph"/>
      </w:pPr>
      <w:r>
        <w:t>En los programas 4 y 5, la variable equivalente:</w:t>
      </w:r>
    </w:p>
    <w:p w14:paraId="73541B14" w14:textId="77777777" w:rsidR="00A80C7E" w:rsidRDefault="00000000">
      <w:pPr>
        <w:pStyle w:val="SourceCode"/>
      </w:pPr>
      <w:r>
        <w:rPr>
          <w:rStyle w:val="NormalTok"/>
        </w:rPr>
        <w:t xml:space="preserve">PERIODO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"202606"</w:t>
      </w:r>
      <w:r>
        <w:rPr>
          <w:rStyle w:val="NormalTok"/>
        </w:rPr>
        <w:t xml:space="preserve">    </w:t>
      </w:r>
      <w:r>
        <w:rPr>
          <w:rStyle w:val="CommentTok"/>
        </w:rPr>
        <w:t># Programa 4</w:t>
      </w:r>
      <w:r>
        <w:br/>
      </w:r>
      <w:r>
        <w:rPr>
          <w:rStyle w:val="NormalTok"/>
        </w:rPr>
        <w:t xml:space="preserve">AñoMes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"202606"</w:t>
      </w:r>
      <w:r>
        <w:rPr>
          <w:rStyle w:val="NormalTok"/>
        </w:rPr>
        <w:t xml:space="preserve">    </w:t>
      </w:r>
      <w:r>
        <w:rPr>
          <w:rStyle w:val="CommentTok"/>
        </w:rPr>
        <w:t># Programa 5</w:t>
      </w:r>
    </w:p>
    <w:p w14:paraId="73541B15" w14:textId="77777777" w:rsidR="00A80C7E" w:rsidRDefault="00000000">
      <w:pPr>
        <w:pStyle w:val="FirstParagraph"/>
      </w:pPr>
      <w:r>
        <w:t xml:space="preserve">Todos los programas leen sus catálogos y diccionarios de un archivo central, </w:t>
      </w:r>
      <w:r>
        <w:rPr>
          <w:rStyle w:val="VerbatimChar"/>
        </w:rPr>
        <w:t>config_marine.py</w:t>
      </w:r>
      <w:r>
        <w:t xml:space="preserve">, ubicado en </w:t>
      </w:r>
      <w:r>
        <w:rPr>
          <w:rStyle w:val="VerbatimChar"/>
        </w:rPr>
        <w:t>.../Marine/Diccionarios</w:t>
      </w:r>
      <w:r>
        <w:t>. Ahí viven las listas de pólizas legacy, el mapa de coberturas (</w:t>
      </w:r>
      <w:r>
        <w:rPr>
          <w:rStyle w:val="VerbatimChar"/>
        </w:rPr>
        <w:t>COVER_MAP</w:t>
      </w:r>
      <w:r>
        <w:t>), el mapa de líneas de negocio (</w:t>
      </w:r>
      <w:r>
        <w:rPr>
          <w:rStyle w:val="VerbatimChar"/>
        </w:rPr>
        <w:t>MAP_LOB_INWARD</w:t>
      </w:r>
      <w:r>
        <w:t xml:space="preserve">) y las excepciones manuales. </w:t>
      </w:r>
      <w:r>
        <w:rPr>
          <w:b/>
        </w:rPr>
        <w:t>Si cambia una regla de negocio, se cambia ahí y aplica a todos los programas a la vez.</w:t>
      </w:r>
    </w:p>
    <w:p w14:paraId="73541B16" w14:textId="77777777" w:rsidR="00A80C7E" w:rsidRDefault="00000000">
      <w:r>
        <w:pict w14:anchorId="73541C98">
          <v:rect id="_x0000_i1027" style="width:0;height:1.5pt" o:hralign="center" o:hrstd="t" o:hr="t"/>
        </w:pict>
      </w:r>
    </w:p>
    <w:p w14:paraId="73541B17" w14:textId="77777777" w:rsidR="00A80C7E" w:rsidRDefault="00000000">
      <w:pPr>
        <w:pStyle w:val="Ttulo1"/>
      </w:pPr>
      <w:bookmarkStart w:id="8" w:name="programa-1-carga-de-bases-marine"/>
      <w:bookmarkStart w:id="9" w:name="_Toc236735065"/>
      <w:r>
        <w:t>4. Programa 1 — Carga de Bases Marine</w:t>
      </w:r>
      <w:bookmarkEnd w:id="8"/>
      <w:bookmarkEnd w:id="9"/>
    </w:p>
    <w:p w14:paraId="73541B18" w14:textId="77777777" w:rsidR="00A80C7E" w:rsidRDefault="00000000">
      <w:pPr>
        <w:pStyle w:val="FirstParagraph"/>
      </w:pPr>
      <w:r>
        <w:rPr>
          <w:b/>
        </w:rPr>
        <w:t>Objetivo:</w:t>
      </w:r>
      <w:r>
        <w:t xml:space="preserve"> juntar todos los BDX del mes en una sola tabla estandarizada y cruzarla contra la base del mes anterior, para saber qué registros hay que actualizar.</w:t>
      </w:r>
    </w:p>
    <w:p w14:paraId="73541B19" w14:textId="77777777" w:rsidR="00A80C7E" w:rsidRDefault="00000000">
      <w:pPr>
        <w:pStyle w:val="Textoindependiente"/>
      </w:pPr>
      <w:r>
        <w:rPr>
          <w:b/>
        </w:rPr>
        <w:t>Insumos:</w:t>
      </w:r>
      <w:r>
        <w:t xml:space="preserve"> los archivos BDX de cada cedente en </w:t>
      </w:r>
      <w:r>
        <w:rPr>
          <w:rStyle w:val="VerbatimChar"/>
        </w:rPr>
        <w:t>Insumos/{AñoMes}/</w:t>
      </w:r>
      <w:r>
        <w:t>, más la base procesada del mes anterior (</w:t>
      </w:r>
      <w:r>
        <w:rPr>
          <w:rStyle w:val="VerbatimChar"/>
        </w:rPr>
        <w:t>{AñoMes_ant}_Siniestros_Marine_PROCESADO.xlsx</w:t>
      </w:r>
      <w:r>
        <w:t>).</w:t>
      </w:r>
    </w:p>
    <w:p w14:paraId="73541B1A" w14:textId="77777777" w:rsidR="00A80C7E" w:rsidRDefault="00000000">
      <w:pPr>
        <w:pStyle w:val="Textoindependiente"/>
      </w:pPr>
      <w:r>
        <w:rPr>
          <w:b/>
        </w:rPr>
        <w:t>Salida:</w:t>
      </w:r>
      <w:r>
        <w:t xml:space="preserve"> </w:t>
      </w:r>
      <w:r>
        <w:rPr>
          <w:rStyle w:val="VerbatimChar"/>
        </w:rPr>
        <w:t>Procesados/{AñoMes}/bd_update.xlsx</w:t>
      </w:r>
      <w:r>
        <w:t xml:space="preserve"> y </w:t>
      </w:r>
      <w:r>
        <w:rPr>
          <w:rStyle w:val="VerbatimChar"/>
        </w:rPr>
        <w:t>bd_update.pkl</w:t>
      </w:r>
      <w:r>
        <w:t xml:space="preserve"> — la base “en proceso”, todavía sin información contable.</w:t>
      </w:r>
    </w:p>
    <w:p w14:paraId="73541B1B" w14:textId="77777777" w:rsidR="00A80C7E" w:rsidRDefault="00000000">
      <w:pPr>
        <w:pStyle w:val="Ttulo2"/>
      </w:pPr>
      <w:bookmarkStart w:id="10" w:name="X79bed3f6f25f7759e861f242b259dcbea3ff81a"/>
      <w:bookmarkStart w:id="11" w:name="_Toc236735066"/>
      <w:r>
        <w:t>Bloque 1 — Librerías y configuración (secciones 1 y 1.5)</w:t>
      </w:r>
      <w:bookmarkEnd w:id="10"/>
      <w:bookmarkEnd w:id="11"/>
    </w:p>
    <w:p w14:paraId="73541B1C" w14:textId="20A7A9B7" w:rsidR="00A80C7E" w:rsidRDefault="00000000">
      <w:pPr>
        <w:pStyle w:val="FirstParagraph"/>
      </w:pPr>
      <w:r>
        <w:t xml:space="preserve">Limpia la memoria de ejecuciones previas, carga las librerías de Python y trae todos los catálogos desde </w:t>
      </w:r>
      <w:r>
        <w:rPr>
          <w:rStyle w:val="VerbatimChar"/>
        </w:rPr>
        <w:t>config_marine.py</w:t>
      </w:r>
      <w:r>
        <w:t>.</w:t>
      </w:r>
    </w:p>
    <w:p w14:paraId="73541B1D" w14:textId="77777777" w:rsidR="00A80C7E" w:rsidRDefault="00000000">
      <w:pPr>
        <w:pStyle w:val="Ttulo2"/>
      </w:pPr>
      <w:bookmarkStart w:id="12" w:name="bloque-2-periodo-y-carpetas-sección-2"/>
      <w:bookmarkStart w:id="13" w:name="_Toc236735067"/>
      <w:r>
        <w:t>Bloque 2 — Periodo y carpetas (sección 2)</w:t>
      </w:r>
      <w:bookmarkEnd w:id="12"/>
      <w:bookmarkEnd w:id="13"/>
    </w:p>
    <w:p w14:paraId="73541B1E" w14:textId="77777777" w:rsidR="00A80C7E" w:rsidRDefault="00000000">
      <w:pPr>
        <w:pStyle w:val="FirstParagraph"/>
      </w:pPr>
      <w:r>
        <w:t>Se fija el mes que se va a procesar y se calculan a partir de él las fechas de corte y el nombre del mes en español (los BDX vienen nombrados “JUNIO 2026”, por ejemplo).</w:t>
      </w:r>
    </w:p>
    <w:p w14:paraId="73541B1F" w14:textId="77777777" w:rsidR="00A80C7E" w:rsidRDefault="00000000">
      <w:pPr>
        <w:pStyle w:val="Textoindependiente"/>
      </w:pPr>
      <w:r>
        <w:t xml:space="preserve">También </w:t>
      </w:r>
      <w:r>
        <w:rPr>
          <w:b/>
        </w:rPr>
        <w:t>crea automáticamente</w:t>
      </w:r>
      <w:r>
        <w:t xml:space="preserve"> la estructura de carpetas del mes si no existe: </w:t>
      </w:r>
      <w:r>
        <w:rPr>
          <w:rStyle w:val="VerbatimChar"/>
        </w:rPr>
        <w:t>Bases</w:t>
      </w:r>
      <w:r>
        <w:t xml:space="preserve">, </w:t>
      </w:r>
      <w:r>
        <w:rPr>
          <w:rStyle w:val="VerbatimChar"/>
        </w:rPr>
        <w:t>Incidencias</w:t>
      </w:r>
      <w:r>
        <w:t xml:space="preserve">, </w:t>
      </w:r>
      <w:r>
        <w:rPr>
          <w:rStyle w:val="VerbatimChar"/>
        </w:rPr>
        <w:t>Insumos</w:t>
      </w:r>
      <w:r>
        <w:t xml:space="preserve">, </w:t>
      </w:r>
      <w:r>
        <w:rPr>
          <w:rStyle w:val="VerbatimChar"/>
        </w:rPr>
        <w:t>Procesados</w:t>
      </w:r>
      <w:r>
        <w:t xml:space="preserve">, </w:t>
      </w:r>
      <w:r>
        <w:rPr>
          <w:rStyle w:val="VerbatimChar"/>
        </w:rPr>
        <w:t>Validaciones</w:t>
      </w:r>
      <w:r>
        <w:t>, cada una con su subcarpeta del periodo.</w:t>
      </w:r>
    </w:p>
    <w:p w14:paraId="73541B20" w14:textId="77777777" w:rsidR="00A80C7E" w:rsidRDefault="00000000">
      <w:pPr>
        <w:pStyle w:val="Ttulo2"/>
      </w:pPr>
      <w:bookmarkStart w:id="14" w:name="bloque-3-rutas-de-los-bdx-sección-3"/>
      <w:bookmarkStart w:id="15" w:name="_Toc236735068"/>
      <w:r>
        <w:lastRenderedPageBreak/>
        <w:t>Bloque 3 — Rutas de los BDX (sección 3)</w:t>
      </w:r>
      <w:bookmarkEnd w:id="14"/>
      <w:bookmarkEnd w:id="15"/>
    </w:p>
    <w:p w14:paraId="73541B21" w14:textId="77777777" w:rsidR="00A80C7E" w:rsidRDefault="00000000">
      <w:pPr>
        <w:pStyle w:val="FirstParagraph"/>
      </w:pPr>
      <w:r>
        <w:t xml:space="preserve">Define en qué ruta exacta está el archivo de cada cedente. Los nombres de archivo se arman con el mes en texto, así que </w:t>
      </w:r>
      <w:r>
        <w:rPr>
          <w:b/>
        </w:rPr>
        <w:t>si la cedente cambia el nombre del archivo, aquí es donde truena</w:t>
      </w:r>
      <w:r>
        <w:t xml:space="preserve"> y hay que ajustar la ruta.</w:t>
      </w:r>
    </w:p>
    <w:p w14:paraId="73541B22" w14:textId="77777777" w:rsidR="00A80C7E" w:rsidRDefault="00000000">
      <w:pPr>
        <w:pStyle w:val="Textoindependiente"/>
      </w:pPr>
      <w:r>
        <w:t>Actualmente se leen, entre otros: Inbursa (casco, P&amp;I y transporte, en tres rangos de años), Aguas Profundas, Banorte (póliza NCGL-070-1000773), Atlas (E01-2-60-3 y E01-2-60-10), Pemex REAS (NCGL-070-1002258) y Mapfre.</w:t>
      </w:r>
    </w:p>
    <w:p w14:paraId="73541B23" w14:textId="77777777" w:rsidR="00A80C7E" w:rsidRDefault="00000000">
      <w:pPr>
        <w:pStyle w:val="Ttulo2"/>
      </w:pPr>
      <w:bookmarkStart w:id="16" w:name="Xa86c2e2f5c4061e963f42922e16f9c3370d2827"/>
      <w:bookmarkStart w:id="17" w:name="_Toc236735069"/>
      <w:r>
        <w:t>Bloque 4 — Funciones de lectura y estandarización (secciones 4, 4B, 4C)</w:t>
      </w:r>
      <w:bookmarkEnd w:id="16"/>
      <w:bookmarkEnd w:id="17"/>
    </w:p>
    <w:p w14:paraId="73541B24" w14:textId="77777777" w:rsidR="00A80C7E" w:rsidRDefault="00000000">
      <w:pPr>
        <w:pStyle w:val="FirstParagraph"/>
      </w:pPr>
      <w:r>
        <w:t xml:space="preserve">Este es el corazón técnico del programa. Cada BDX viene con un formato distinto, así que la función </w:t>
      </w:r>
      <w:r>
        <w:rPr>
          <w:rStyle w:val="VerbatimChar"/>
        </w:rPr>
        <w:t>import_format()</w:t>
      </w:r>
      <w:r>
        <w:t xml:space="preserve"> hace lo siguiente en cada hoja de cada archivo:</w:t>
      </w:r>
    </w:p>
    <w:p w14:paraId="73541B25" w14:textId="77777777" w:rsidR="00A80C7E" w:rsidRDefault="00000000">
      <w:pPr>
        <w:pStyle w:val="Compact"/>
        <w:numPr>
          <w:ilvl w:val="0"/>
          <w:numId w:val="3"/>
        </w:numPr>
      </w:pPr>
      <w:r>
        <w:rPr>
          <w:b/>
        </w:rPr>
        <w:t>Corta la hoja donde dice “FIN”</w:t>
      </w:r>
      <w:r>
        <w:t>, para no arrastrar notas al pie ni firmas.</w:t>
      </w:r>
    </w:p>
    <w:p w14:paraId="73541B26" w14:textId="77777777" w:rsidR="00A80C7E" w:rsidRDefault="00000000">
      <w:pPr>
        <w:pStyle w:val="Compact"/>
        <w:numPr>
          <w:ilvl w:val="0"/>
          <w:numId w:val="3"/>
        </w:numPr>
      </w:pPr>
      <w:r>
        <w:rPr>
          <w:b/>
        </w:rPr>
        <w:t>Detecta si la hoja trae dos bloques en paralelo (KOT y CEDANT)</w:t>
      </w:r>
      <w:r>
        <w:t xml:space="preserve"> y se queda exclusivamente con las cifras de KOT. Nunca mezcla ambos: sería un error financiero.</w:t>
      </w:r>
    </w:p>
    <w:p w14:paraId="73541B27" w14:textId="77777777" w:rsidR="00A80C7E" w:rsidRDefault="00000000">
      <w:pPr>
        <w:pStyle w:val="Compact"/>
        <w:numPr>
          <w:ilvl w:val="0"/>
          <w:numId w:val="3"/>
        </w:numPr>
      </w:pPr>
      <w:r>
        <w:rPr>
          <w:b/>
        </w:rPr>
        <w:t>Descarta filas de totales.</w:t>
      </w:r>
      <w:r>
        <w:t xml:space="preserve"> Una fila de totales de Excel se parece mucho a la continuación de un siniestro; si se cuela, infla la reserva. El programa la detecta por dos señales (la palabra “TOTAL” en la primera columna, o que su monto sea igual a la suma de todas las demás filas) y </w:t>
      </w:r>
      <w:r>
        <w:rPr>
          <w:b/>
        </w:rPr>
        <w:t>detiene la ejecución</w:t>
      </w:r>
      <w:r>
        <w:t xml:space="preserve"> si la encuentra, en vez de dejar pasar un dato corrupto.</w:t>
      </w:r>
    </w:p>
    <w:p w14:paraId="73541B28" w14:textId="77777777" w:rsidR="00A80C7E" w:rsidRDefault="00000000">
      <w:pPr>
        <w:pStyle w:val="Compact"/>
        <w:numPr>
          <w:ilvl w:val="0"/>
          <w:numId w:val="3"/>
        </w:numPr>
      </w:pPr>
      <w:r>
        <w:rPr>
          <w:b/>
        </w:rPr>
        <w:t>Une siniestros partidos en varias filas</w:t>
      </w:r>
      <w:r>
        <w:t xml:space="preserve"> (celdas combinadas, o numeración tipo </w:t>
      </w:r>
      <w:r>
        <w:rPr>
          <w:rStyle w:val="VerbatimChar"/>
        </w:rPr>
        <w:t>458</w:t>
      </w:r>
      <w:r>
        <w:t xml:space="preserve"> y </w:t>
      </w:r>
      <w:r>
        <w:rPr>
          <w:rStyle w:val="VerbatimChar"/>
        </w:rPr>
        <w:t>458.1</w:t>
      </w:r>
      <w:r>
        <w:t>): suma los montos y conserva los datos de identidad del primer renglón.</w:t>
      </w:r>
    </w:p>
    <w:p w14:paraId="73541B29" w14:textId="77777777" w:rsidR="00A80C7E" w:rsidRDefault="00000000">
      <w:pPr>
        <w:pStyle w:val="FirstParagraph"/>
      </w:pPr>
      <w:r>
        <w:t xml:space="preserve">Adicionalmente, el bloque 4B estandariza las coberturas: limpia el texto (quita paréntesis, truncados, acentos), lo busca en el catálogo </w:t>
      </w:r>
      <w:r>
        <w:rPr>
          <w:rStyle w:val="VerbatimChar"/>
        </w:rPr>
        <w:t>COVER_MAP</w:t>
      </w:r>
      <w:r>
        <w:t xml:space="preserve"> y lo convierte al </w:t>
      </w:r>
      <w:r>
        <w:rPr>
          <w:rStyle w:val="VerbatimChar"/>
        </w:rPr>
        <w:t>LoB-Inward</w:t>
      </w:r>
      <w:r>
        <w:t xml:space="preserve"> canónico. Las coberturas que </w:t>
      </w:r>
      <w:r>
        <w:rPr>
          <w:b/>
        </w:rPr>
        <w:t>no</w:t>
      </w:r>
      <w:r>
        <w:t xml:space="preserve"> hacen match se llaman </w:t>
      </w:r>
      <w:r>
        <w:rPr>
          <w:i/>
        </w:rPr>
        <w:t>huérfanas</w:t>
      </w:r>
      <w:r>
        <w:t xml:space="preserve"> y se exportan a </w:t>
      </w:r>
      <w:r>
        <w:rPr>
          <w:rStyle w:val="VerbatimChar"/>
        </w:rPr>
        <w:t>Huerfanos_COVER_{AñoMes}.xlsx</w:t>
      </w:r>
      <w:r>
        <w:t xml:space="preserve"> para que alguien las clasifique.</w:t>
      </w:r>
    </w:p>
    <w:p w14:paraId="73541B2A" w14:textId="77777777" w:rsidR="00A80C7E" w:rsidRDefault="00000000">
      <w:pPr>
        <w:pStyle w:val="Ttulo2"/>
      </w:pPr>
      <w:bookmarkStart w:id="18" w:name="bloque-5-lectura-por-cedente-sección-5"/>
      <w:bookmarkStart w:id="19" w:name="_Toc236735070"/>
      <w:r>
        <w:t>Bloque 5 — Lectura por cedente (sección 5)</w:t>
      </w:r>
      <w:bookmarkEnd w:id="18"/>
      <w:bookmarkEnd w:id="19"/>
    </w:p>
    <w:p w14:paraId="73541B2B" w14:textId="77777777" w:rsidR="00A80C7E" w:rsidRDefault="00000000">
      <w:pPr>
        <w:pStyle w:val="FirstParagraph"/>
      </w:pPr>
      <w:r>
        <w:t xml:space="preserve">Un bloque por cada BDX. Cada uno selecciona las columnas que interesan de ese archivo en particular, las renombra al estándar y aplica </w:t>
      </w:r>
      <w:r>
        <w:rPr>
          <w:rStyle w:val="VerbatimChar"/>
        </w:rPr>
        <w:t>import_format()</w:t>
      </w:r>
      <w:r>
        <w:t>. Son bloques repetitivos por necesidad: cada cedente nombra sus columnas distinto.</w:t>
      </w:r>
    </w:p>
    <w:p w14:paraId="73541B2C" w14:textId="77777777" w:rsidR="00A80C7E" w:rsidRDefault="00000000">
      <w:pPr>
        <w:pStyle w:val="Ttulo2"/>
      </w:pPr>
      <w:bookmarkStart w:id="20" w:name="bloque-6-base-bdx-consolidada-sección-6"/>
      <w:bookmarkStart w:id="21" w:name="_Toc236735071"/>
      <w:r>
        <w:t>Bloque 6 — Base BDX consolidada (sección 6)</w:t>
      </w:r>
      <w:bookmarkEnd w:id="20"/>
      <w:bookmarkEnd w:id="21"/>
    </w:p>
    <w:p w14:paraId="73541B2D" w14:textId="77777777" w:rsidR="00A80C7E" w:rsidRDefault="00000000">
      <w:pPr>
        <w:pStyle w:val="FirstParagraph"/>
      </w:pPr>
      <w:r>
        <w:t>Junta todos los BDX en una sola tabla (</w:t>
      </w:r>
      <w:r>
        <w:rPr>
          <w:rStyle w:val="VerbatimChar"/>
        </w:rPr>
        <w:t>df_bdx_consolidated</w:t>
      </w:r>
      <w:r>
        <w:t>), conservando de qué archivo y hoja salió cada fila (útil para rastrear un dato hasta su origen).</w:t>
      </w:r>
    </w:p>
    <w:p w14:paraId="73541B2E" w14:textId="77777777" w:rsidR="00A80C7E" w:rsidRDefault="00000000">
      <w:pPr>
        <w:pStyle w:val="Textoindependiente"/>
      </w:pPr>
      <w:r>
        <w:t>Aquí también:</w:t>
      </w:r>
    </w:p>
    <w:p w14:paraId="73541B2F" w14:textId="77777777" w:rsidR="00A80C7E" w:rsidRDefault="00000000">
      <w:pPr>
        <w:pStyle w:val="Compact"/>
        <w:numPr>
          <w:ilvl w:val="0"/>
          <w:numId w:val="4"/>
        </w:numPr>
      </w:pPr>
      <w:r>
        <w:t xml:space="preserve">Convierte reserva y deducible a números. Los ceros se tratan como “sin dato”, </w:t>
      </w:r>
      <w:r>
        <w:rPr>
          <w:b/>
        </w:rPr>
        <w:t xml:space="preserve">excepto en </w:t>
      </w:r>
      <w:r>
        <w:rPr>
          <w:rStyle w:val="VerbatimChar"/>
          <w:b/>
        </w:rPr>
        <w:t>Net Reserve (USD)</w:t>
      </w:r>
      <w:r>
        <w:t>, donde un cero sí es un valor válido y se conserva.</w:t>
      </w:r>
    </w:p>
    <w:p w14:paraId="73541B30" w14:textId="77777777" w:rsidR="00A80C7E" w:rsidRDefault="00000000">
      <w:pPr>
        <w:pStyle w:val="Compact"/>
        <w:numPr>
          <w:ilvl w:val="0"/>
          <w:numId w:val="4"/>
        </w:numPr>
      </w:pPr>
      <w:r>
        <w:lastRenderedPageBreak/>
        <w:t>Elimina registros sin número de siniestro (después de mostrarlos en pantalla por si traían montos).</w:t>
      </w:r>
    </w:p>
    <w:p w14:paraId="73541B31" w14:textId="77777777" w:rsidR="00A80C7E" w:rsidRDefault="00000000">
      <w:pPr>
        <w:pStyle w:val="Compact"/>
        <w:numPr>
          <w:ilvl w:val="0"/>
          <w:numId w:val="4"/>
        </w:numPr>
      </w:pPr>
      <w:r>
        <w:t>Aplica el mapeo de coberturas y genera el reporte de huérfanas.</w:t>
      </w:r>
    </w:p>
    <w:p w14:paraId="73541B32" w14:textId="77777777" w:rsidR="00A80C7E" w:rsidRDefault="00000000">
      <w:pPr>
        <w:pStyle w:val="Compact"/>
        <w:numPr>
          <w:ilvl w:val="0"/>
          <w:numId w:val="4"/>
        </w:numPr>
      </w:pPr>
      <w:r>
        <w:t xml:space="preserve">Exporta la consolidada a </w:t>
      </w:r>
      <w:r>
        <w:rPr>
          <w:rStyle w:val="VerbatimChar"/>
        </w:rPr>
        <w:t>{AñoMes}_BDX_Marine.xlsx</w:t>
      </w:r>
      <w:r>
        <w:t xml:space="preserve"> como respaldo.</w:t>
      </w:r>
    </w:p>
    <w:p w14:paraId="73541B33" w14:textId="77777777" w:rsidR="00A80C7E" w:rsidRDefault="00000000">
      <w:pPr>
        <w:pStyle w:val="Ttulo2"/>
      </w:pPr>
      <w:bookmarkStart w:id="22" w:name="X386d41e3f94b0692eea674d678e0295bc29ef36"/>
      <w:bookmarkStart w:id="23" w:name="_Toc236735072"/>
      <w:r>
        <w:t>Bloque 7 — Base de registros nuevos del mes (sección 7)</w:t>
      </w:r>
      <w:bookmarkEnd w:id="22"/>
      <w:bookmarkEnd w:id="23"/>
    </w:p>
    <w:p w14:paraId="73541B34" w14:textId="77777777" w:rsidR="00A80C7E" w:rsidRDefault="00000000">
      <w:pPr>
        <w:pStyle w:val="FirstParagraph"/>
      </w:pPr>
      <w:r>
        <w:t xml:space="preserve">Separa los siniestros </w:t>
      </w:r>
      <w:r>
        <w:rPr>
          <w:b/>
        </w:rPr>
        <w:t>reportados por primera vez en el mes</w:t>
      </w:r>
      <w:r>
        <w:t xml:space="preserve"> (fecha de reporte dentro del periodo) y los marca con </w:t>
      </w:r>
      <w:r>
        <w:rPr>
          <w:rStyle w:val="VerbatimChar"/>
        </w:rPr>
        <w:t>Monthly = 1</w:t>
      </w:r>
      <w:r>
        <w:t>. Si alguno tiene fecha de siniestro posterior al cierre del mes, lo señala como incidencia para revisar.</w:t>
      </w:r>
    </w:p>
    <w:p w14:paraId="73541B35" w14:textId="77777777" w:rsidR="00A80C7E" w:rsidRDefault="00000000">
      <w:pPr>
        <w:pStyle w:val="Ttulo2"/>
      </w:pPr>
      <w:bookmarkStart w:id="24" w:name="X92f3de78731bf9797709c2186dde2108b2a4d9e"/>
      <w:bookmarkStart w:id="25" w:name="_Toc236735073"/>
      <w:r>
        <w:t>Bloque 8 — Base del mes anterior y separación de legacy (secciones 8 y 8b)</w:t>
      </w:r>
      <w:bookmarkEnd w:id="24"/>
      <w:bookmarkEnd w:id="25"/>
    </w:p>
    <w:p w14:paraId="73541B36" w14:textId="77777777" w:rsidR="00A80C7E" w:rsidRDefault="00000000">
      <w:pPr>
        <w:pStyle w:val="FirstParagraph"/>
      </w:pPr>
      <w:r>
        <w:t>Carga la base procesada del mes pasado, que es el punto de partida (“pivote”) porque su información ya fue validada.</w:t>
      </w:r>
    </w:p>
    <w:p w14:paraId="73541B37" w14:textId="77777777" w:rsidR="00A80C7E" w:rsidRDefault="00000000">
      <w:pPr>
        <w:pStyle w:val="Textoindependiente"/>
      </w:pPr>
      <w:r>
        <w:t xml:space="preserve">Enseguida hace el </w:t>
      </w:r>
      <w:r>
        <w:rPr>
          <w:b/>
        </w:rPr>
        <w:t>split legacy/activos</w:t>
      </w:r>
      <w:r>
        <w:t xml:space="preserve">: las pólizas legacy se apartan en una tabla separada y no vuelven a tocarse hasta el final del programa. Así se garantiza —por diseño, no por disciplina— que ningún cálculo posterior las modifique. Si al separar se pierde o duplica un solo registro, </w:t>
      </w:r>
      <w:r>
        <w:rPr>
          <w:b/>
        </w:rPr>
        <w:t>el proceso se detiene</w:t>
      </w:r>
      <w:r>
        <w:t>.</w:t>
      </w:r>
    </w:p>
    <w:p w14:paraId="73541B38" w14:textId="77777777" w:rsidR="00A80C7E" w:rsidRDefault="00000000">
      <w:pPr>
        <w:pStyle w:val="Textoindependiente"/>
      </w:pPr>
      <w:r>
        <w:t>Cierra con una validación de integridad: verifica que se hayan cargado al menos 3,500 registros, que ningún número de siniestro venga vacío, e imprime los totales financieros del mes anterior para comparación visual.</w:t>
      </w:r>
    </w:p>
    <w:p w14:paraId="73541B39" w14:textId="77777777" w:rsidR="00A80C7E" w:rsidRDefault="00000000">
      <w:pPr>
        <w:pStyle w:val="Ttulo2"/>
      </w:pPr>
      <w:bookmarkStart w:id="26" w:name="X3b3516d7d818bcdb93b12836803686d3a852e53"/>
      <w:bookmarkStart w:id="27" w:name="_Toc236735074"/>
      <w:r>
        <w:t>Bloque 9 — Primera validación: reserva y deducible (sección 9)</w:t>
      </w:r>
      <w:bookmarkEnd w:id="26"/>
      <w:bookmarkEnd w:id="27"/>
    </w:p>
    <w:p w14:paraId="73541B3A" w14:textId="77777777" w:rsidR="00A80C7E" w:rsidRDefault="00000000">
      <w:pPr>
        <w:pStyle w:val="FirstParagraph"/>
      </w:pPr>
      <w:r>
        <w:t>Compara, siniestro por siniestro, la reserva y el deducible de la base actuarial contra los del BDX del mes. Produce tres reportes:</w:t>
      </w:r>
    </w:p>
    <w:p w14:paraId="73541B3B" w14:textId="77777777" w:rsidR="00A80C7E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no_cruzan.xlsx</w:t>
      </w:r>
      <w:r>
        <w:t xml:space="preserve"> — siniestros que están en una base y no en la otra, sin justificación conocida.</w:t>
      </w:r>
    </w:p>
    <w:p w14:paraId="73541B3C" w14:textId="77777777" w:rsidR="00A80C7E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Validacion_deducible.xlsx</w:t>
      </w:r>
      <w:r>
        <w:t xml:space="preserve"> — casos donde el deducible cambió de un mes a otro.</w:t>
      </w:r>
    </w:p>
    <w:p w14:paraId="73541B3D" w14:textId="77777777" w:rsidR="00A80C7E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Validacion_GR.xlsx</w:t>
      </w:r>
      <w:r>
        <w:t xml:space="preserve"> — casos donde la reserva bruta cambió teniendo pagos y reserva abierta.</w:t>
      </w:r>
    </w:p>
    <w:p w14:paraId="73541B3E" w14:textId="77777777" w:rsidR="00A80C7E" w:rsidRDefault="00000000">
      <w:pPr>
        <w:pStyle w:val="FirstParagraph"/>
      </w:pPr>
      <w:r>
        <w:t>Existe una lista de excepciones conocidas (</w:t>
      </w:r>
      <w:r>
        <w:rPr>
          <w:rStyle w:val="VerbatimChar"/>
        </w:rPr>
        <w:t>list_nocross</w:t>
      </w:r>
      <w:r>
        <w:t>) para los casos que ya se revisaron y están en espera de respuesta de la cedente; esos no se reportan de nuevo cada mes.</w:t>
      </w:r>
    </w:p>
    <w:p w14:paraId="73541B3F" w14:textId="77777777" w:rsidR="00A80C7E" w:rsidRDefault="00000000">
      <w:pPr>
        <w:pStyle w:val="Ttulo2"/>
      </w:pPr>
      <w:bookmarkStart w:id="28" w:name="X555e8117730309ade15320ac5b72f8cc1eb0b94"/>
      <w:bookmarkStart w:id="29" w:name="_Toc236735075"/>
      <w:r>
        <w:t>Bloque 10 — Cruce de la base actualizable con el BDX (sección 10)</w:t>
      </w:r>
      <w:bookmarkEnd w:id="28"/>
      <w:bookmarkEnd w:id="29"/>
    </w:p>
    <w:p w14:paraId="73541B40" w14:textId="77777777" w:rsidR="00A80C7E" w:rsidRDefault="00000000">
      <w:pPr>
        <w:pStyle w:val="FirstParagraph"/>
      </w:pPr>
      <w:r>
        <w:t xml:space="preserve">El cruce principal. Se hace primero por </w:t>
      </w:r>
      <w:r>
        <w:rPr>
          <w:rStyle w:val="VerbatimChar"/>
        </w:rPr>
        <w:t>KEY DED</w:t>
      </w:r>
      <w:r>
        <w:t xml:space="preserve"> (siniestro + deducible), que es la llave más específica.</w:t>
      </w:r>
    </w:p>
    <w:p w14:paraId="73541B41" w14:textId="77777777" w:rsidR="00A80C7E" w:rsidRDefault="00000000">
      <w:pPr>
        <w:pStyle w:val="Textoindependiente"/>
      </w:pPr>
      <w:r>
        <w:t>Antes del cruce se apartan tres grupos:</w:t>
      </w:r>
    </w:p>
    <w:p w14:paraId="73541B42" w14:textId="77777777" w:rsidR="00A80C7E" w:rsidRDefault="00000000">
      <w:pPr>
        <w:pStyle w:val="Compact"/>
        <w:numPr>
          <w:ilvl w:val="0"/>
          <w:numId w:val="6"/>
        </w:numPr>
      </w:pPr>
      <w:r>
        <w:rPr>
          <w:b/>
        </w:rPr>
        <w:lastRenderedPageBreak/>
        <w:t>No actualizables:</w:t>
      </w:r>
      <w:r>
        <w:t xml:space="preserve"> siniestros con justificación documentada para conservar la cifra actuarial (cancelados, ajustes ya acordados).</w:t>
      </w:r>
    </w:p>
    <w:p w14:paraId="73541B43" w14:textId="77777777" w:rsidR="00A80C7E" w:rsidRDefault="00000000">
      <w:pPr>
        <w:pStyle w:val="Compact"/>
        <w:numPr>
          <w:ilvl w:val="0"/>
          <w:numId w:val="6"/>
        </w:numPr>
      </w:pPr>
      <w:r>
        <w:rPr>
          <w:b/>
        </w:rPr>
        <w:t>Ajustes manuales:</w:t>
      </w:r>
      <w:r>
        <w:t xml:space="preserve"> siniestros con erratas conocidas o duplicados que se corrigen a mano.</w:t>
      </w:r>
    </w:p>
    <w:p w14:paraId="73541B44" w14:textId="77777777" w:rsidR="00A80C7E" w:rsidRDefault="00000000">
      <w:pPr>
        <w:pStyle w:val="Compact"/>
        <w:numPr>
          <w:ilvl w:val="0"/>
          <w:numId w:val="6"/>
        </w:numPr>
      </w:pPr>
      <w:r>
        <w:rPr>
          <w:b/>
        </w:rPr>
        <w:t>Claims nuevos del BDX:</w:t>
      </w:r>
      <w:r>
        <w:t xml:space="preserve"> siniestros que aparecen en el BDX y no existían en la base anterior; se incorporan, evitando duplicarlos con los que ya entraron como </w:t>
      </w:r>
      <w:r>
        <w:rPr>
          <w:rStyle w:val="VerbatimChar"/>
        </w:rPr>
        <w:t>Monthly = 1</w:t>
      </w:r>
      <w:r>
        <w:t>.</w:t>
      </w:r>
    </w:p>
    <w:p w14:paraId="73541B45" w14:textId="77777777" w:rsidR="00A80C7E" w:rsidRDefault="00000000">
      <w:pPr>
        <w:pStyle w:val="FirstParagraph"/>
      </w:pPr>
      <w:r>
        <w:t>Después del cruce se verifica que el número de registros antes y después coincida. Cualquier llave duplicada que no esté en la lista de duplicados conocidos se imprime en pantalla para revisión.</w:t>
      </w:r>
    </w:p>
    <w:p w14:paraId="73541B46" w14:textId="77777777" w:rsidR="00A80C7E" w:rsidRDefault="00000000">
      <w:pPr>
        <w:pStyle w:val="Ttulo2"/>
      </w:pPr>
      <w:bookmarkStart w:id="30" w:name="X57769639ce1108b9c619da1e328056c5b496cc1"/>
      <w:bookmarkStart w:id="31" w:name="_Toc236735076"/>
      <w:r>
        <w:t>Bloque 11 — Unión de base actualizable y base mensual (sección 11)</w:t>
      </w:r>
      <w:bookmarkEnd w:id="30"/>
      <w:bookmarkEnd w:id="31"/>
    </w:p>
    <w:p w14:paraId="73541B47" w14:textId="77777777" w:rsidR="00A80C7E" w:rsidRDefault="00000000">
      <w:pPr>
        <w:pStyle w:val="FirstParagraph"/>
      </w:pPr>
      <w:r>
        <w:t xml:space="preserve">Pega los registros nuevos del mes debajo de los que vienen de meses anteriores, con la bandera </w:t>
      </w:r>
      <w:r>
        <w:rPr>
          <w:rStyle w:val="VerbatimChar"/>
        </w:rPr>
        <w:t>Monthly</w:t>
      </w:r>
      <w:r>
        <w:t xml:space="preserve"> para distinguirlos.</w:t>
      </w:r>
    </w:p>
    <w:p w14:paraId="73541B48" w14:textId="77777777" w:rsidR="00A80C7E" w:rsidRDefault="00000000">
      <w:pPr>
        <w:pStyle w:val="Ttulo2"/>
      </w:pPr>
      <w:bookmarkStart w:id="32" w:name="X123fb45e9fe67f1f3e44b3e5b6267b0569761ae"/>
      <w:bookmarkStart w:id="33" w:name="_Toc236735077"/>
      <w:r>
        <w:t>Bloque 12 — Segunda validación: fechas y deducible (secciones 12 y 12b)</w:t>
      </w:r>
      <w:bookmarkEnd w:id="32"/>
      <w:bookmarkEnd w:id="33"/>
    </w:p>
    <w:p w14:paraId="73541B49" w14:textId="77777777" w:rsidR="00A80C7E" w:rsidRDefault="00000000">
      <w:pPr>
        <w:pStyle w:val="FirstParagraph"/>
      </w:pPr>
      <w:r>
        <w:t>Sobre los registros de meses anteriores, revisa que las fechas de siniestro y de reporte no hayan cambiado respecto al BDX. Un cambio de fecha (sobre todo de mes) suele indicar un error de captura en el BDX, así que se levanta advertencia.</w:t>
      </w:r>
    </w:p>
    <w:p w14:paraId="73541B4A" w14:textId="77777777" w:rsidR="00A80C7E" w:rsidRDefault="00000000">
      <w:pPr>
        <w:pStyle w:val="Ttulo2"/>
      </w:pPr>
      <w:bookmarkStart w:id="34" w:name="X0c7e97fbbf57d0a9174fce83e7a8473f9e5207f"/>
      <w:bookmarkStart w:id="35" w:name="_Toc236735078"/>
      <w:r>
        <w:t>Bloque 13 — Reintegro de legacy y formato final (sección 13)</w:t>
      </w:r>
      <w:bookmarkEnd w:id="34"/>
      <w:bookmarkEnd w:id="35"/>
    </w:p>
    <w:p w14:paraId="73541B4B" w14:textId="77777777" w:rsidR="00A80C7E" w:rsidRDefault="00000000">
      <w:pPr>
        <w:pStyle w:val="FirstParagraph"/>
      </w:pPr>
      <w:r>
        <w:t>Vuelve a unir las pólizas legacy —intactas, sin haber pasado por ningún cálculo— con el resto de la base, elimina las columnas auxiliares del cruce y ordena las columnas.</w:t>
      </w:r>
    </w:p>
    <w:p w14:paraId="73541B4C" w14:textId="77777777" w:rsidR="00A80C7E" w:rsidRDefault="00000000">
      <w:pPr>
        <w:pStyle w:val="Ttulo2"/>
      </w:pPr>
      <w:bookmarkStart w:id="36" w:name="bloque-14-exportación-sección-14"/>
      <w:bookmarkStart w:id="37" w:name="_Toc236735079"/>
      <w:r>
        <w:t>Bloque 14 — Exportación (sección 14)</w:t>
      </w:r>
      <w:bookmarkEnd w:id="36"/>
      <w:bookmarkEnd w:id="37"/>
    </w:p>
    <w:p w14:paraId="73541B4D" w14:textId="77777777" w:rsidR="00A80C7E" w:rsidRDefault="00000000">
      <w:pPr>
        <w:pStyle w:val="FirstParagraph"/>
      </w:pPr>
      <w:r>
        <w:t xml:space="preserve">Redondea a dos decimales, limpia caracteres que Excel no acepta y exporta </w:t>
      </w:r>
      <w:r>
        <w:rPr>
          <w:rStyle w:val="VerbatimChar"/>
        </w:rPr>
        <w:t>bd_update.xlsx</w:t>
      </w:r>
      <w:r>
        <w:t xml:space="preserve"> y </w:t>
      </w:r>
      <w:r>
        <w:rPr>
          <w:rStyle w:val="VerbatimChar"/>
        </w:rPr>
        <w:t>bd_update.pkl</w:t>
      </w:r>
      <w:r>
        <w:t>. Imprime el conteo final: cuántos registros vienen de meses pasados, cuántos son nuevos y cuántos son ajustes manuales.</w:t>
      </w:r>
    </w:p>
    <w:p w14:paraId="73541B4E" w14:textId="77777777" w:rsidR="00A80C7E" w:rsidRDefault="00000000">
      <w:r>
        <w:pict w14:anchorId="73541C99">
          <v:rect id="_x0000_i1028" style="width:0;height:1.5pt" o:hralign="center" o:hrstd="t" o:hr="t"/>
        </w:pict>
      </w:r>
    </w:p>
    <w:p w14:paraId="73541B4F" w14:textId="77777777" w:rsidR="00A80C7E" w:rsidRDefault="00000000">
      <w:pPr>
        <w:pStyle w:val="Ttulo1"/>
      </w:pPr>
      <w:bookmarkStart w:id="38" w:name="programa-2-actualización-contable-marine"/>
      <w:bookmarkStart w:id="39" w:name="_Toc236735080"/>
      <w:r>
        <w:t>5. Programa 2 — Actualización Contable Marine</w:t>
      </w:r>
      <w:bookmarkEnd w:id="38"/>
      <w:bookmarkEnd w:id="39"/>
    </w:p>
    <w:p w14:paraId="73541B50" w14:textId="77777777" w:rsidR="00A80C7E" w:rsidRDefault="00000000">
      <w:pPr>
        <w:pStyle w:val="FirstParagraph"/>
      </w:pPr>
      <w:r>
        <w:rPr>
          <w:b/>
        </w:rPr>
        <w:t>Objetivo:</w:t>
      </w:r>
      <w:r>
        <w:t xml:space="preserve"> incorporar los pagos reales de Contabilidad y calcular el OSLR de cada siniestro. Este programa produce </w:t>
      </w:r>
      <w:r>
        <w:rPr>
          <w:b/>
        </w:rPr>
        <w:t>la base final del mes</w:t>
      </w:r>
      <w:r>
        <w:t>.</w:t>
      </w:r>
    </w:p>
    <w:p w14:paraId="73541B51" w14:textId="77777777" w:rsidR="00A80C7E" w:rsidRDefault="00000000">
      <w:pPr>
        <w:pStyle w:val="Textoindependiente"/>
      </w:pPr>
      <w:r>
        <w:rPr>
          <w:b/>
        </w:rPr>
        <w:t>Insumos:</w:t>
      </w:r>
      <w:r>
        <w:t xml:space="preserve"> </w:t>
      </w:r>
      <w:r>
        <w:rPr>
          <w:rStyle w:val="VerbatimChar"/>
        </w:rPr>
        <w:t>bd_update.pkl</w:t>
      </w:r>
      <w:r>
        <w:t xml:space="preserve"> (del programa 1) y </w:t>
      </w:r>
      <w:r>
        <w:rPr>
          <w:rStyle w:val="VerbatimChar"/>
        </w:rPr>
        <w:t>Payments_{AñoMes}.xlsx</w:t>
      </w:r>
      <w:r>
        <w:t xml:space="preserve"> (Contabilidad, con hojas AE, CL y VA).</w:t>
      </w:r>
    </w:p>
    <w:p w14:paraId="73541B52" w14:textId="77777777" w:rsidR="00A80C7E" w:rsidRDefault="00000000">
      <w:pPr>
        <w:pStyle w:val="Textoindependiente"/>
      </w:pPr>
      <w:r>
        <w:rPr>
          <w:b/>
        </w:rPr>
        <w:t>Salidas:</w:t>
      </w:r>
      <w:r>
        <w:t xml:space="preserve"> </w:t>
      </w:r>
      <w:r>
        <w:rPr>
          <w:rStyle w:val="VerbatimChar"/>
        </w:rPr>
        <w:t>Procesados/{AñoMes}/Final/{AñoMes}_Siniestros_Marine.xlsx</w:t>
      </w:r>
      <w:r>
        <w:t xml:space="preserve"> y </w:t>
      </w:r>
      <w:r>
        <w:rPr>
          <w:rStyle w:val="VerbatimChar"/>
        </w:rPr>
        <w:t>.pkl</w:t>
      </w:r>
      <w:r>
        <w:t xml:space="preserve">, más varios archivos de auditoría en </w:t>
      </w:r>
      <w:r>
        <w:rPr>
          <w:rStyle w:val="VerbatimChar"/>
        </w:rPr>
        <w:t>Incidencias</w:t>
      </w:r>
      <w:r>
        <w:t>.</w:t>
      </w:r>
    </w:p>
    <w:p w14:paraId="73541B53" w14:textId="77777777" w:rsidR="00A80C7E" w:rsidRDefault="00000000">
      <w:pPr>
        <w:pStyle w:val="Ttulo2"/>
      </w:pPr>
      <w:bookmarkStart w:id="40" w:name="X811a7657936824497b274f4b6aadf6081f9a8ae"/>
      <w:bookmarkStart w:id="41" w:name="_Toc236735081"/>
      <w:r>
        <w:lastRenderedPageBreak/>
        <w:t>Bloque 1 — Configuración y carga (secciones 1 a 3)</w:t>
      </w:r>
      <w:bookmarkEnd w:id="40"/>
      <w:bookmarkEnd w:id="41"/>
    </w:p>
    <w:p w14:paraId="73541B54" w14:textId="77777777" w:rsidR="00A80C7E" w:rsidRDefault="00000000">
      <w:pPr>
        <w:pStyle w:val="FirstParagraph"/>
      </w:pPr>
      <w:r>
        <w:t>Fija el periodo, arma las rutas y carga la base del programa anterior. Al cargarla:</w:t>
      </w:r>
    </w:p>
    <w:p w14:paraId="73541B55" w14:textId="77777777" w:rsidR="00A80C7E" w:rsidRDefault="00000000">
      <w:pPr>
        <w:pStyle w:val="Compact"/>
        <w:numPr>
          <w:ilvl w:val="0"/>
          <w:numId w:val="7"/>
        </w:numPr>
      </w:pPr>
      <w:r>
        <w:rPr>
          <w:b/>
        </w:rPr>
        <w:t>Normaliza el número de siniestro</w:t>
      </w:r>
      <w:r>
        <w:t xml:space="preserve"> (quita todos los espacios) y la línea de negocio, para que la llave de cruce sea idéntica entre periodos. Sin esto, un siniestro con un espacio de más se vería como un siniestro distinto cada mes.</w:t>
      </w:r>
    </w:p>
    <w:p w14:paraId="73541B56" w14:textId="77777777" w:rsidR="00A80C7E" w:rsidRDefault="00000000">
      <w:pPr>
        <w:pStyle w:val="Compact"/>
        <w:numPr>
          <w:ilvl w:val="0"/>
          <w:numId w:val="7"/>
        </w:numPr>
      </w:pPr>
      <w:r>
        <w:rPr>
          <w:b/>
        </w:rPr>
        <w:t xml:space="preserve">Construye </w:t>
      </w:r>
      <w:r>
        <w:rPr>
          <w:rStyle w:val="VerbatimChar"/>
          <w:b/>
        </w:rPr>
        <w:t>KEY LOB</w:t>
      </w:r>
      <w:r>
        <w:t xml:space="preserve"> = siniestro + línea de negocio.</w:t>
      </w:r>
    </w:p>
    <w:p w14:paraId="73541B57" w14:textId="77777777" w:rsidR="00A80C7E" w:rsidRDefault="00000000">
      <w:pPr>
        <w:pStyle w:val="Compact"/>
        <w:numPr>
          <w:ilvl w:val="0"/>
          <w:numId w:val="7"/>
        </w:numPr>
      </w:pPr>
      <w:r>
        <w:rPr>
          <w:b/>
        </w:rPr>
        <w:t>Renombra las columnas del mes anterior</w:t>
      </w:r>
      <w:r>
        <w:t xml:space="preserve"> agregándoles el periodo (</w:t>
      </w:r>
      <w:r>
        <w:rPr>
          <w:rStyle w:val="VerbatimChar"/>
        </w:rPr>
        <w:t>GROSS RESERVE 202604</w:t>
      </w:r>
      <w:r>
        <w:t>), para poder comparar mes contra mes en la misma tabla.</w:t>
      </w:r>
    </w:p>
    <w:p w14:paraId="73541B58" w14:textId="77777777" w:rsidR="00A80C7E" w:rsidRDefault="00000000">
      <w:pPr>
        <w:pStyle w:val="FirstParagraph"/>
      </w:pPr>
      <w:r>
        <w:t>Luego lee el archivo de Contabilidad y lo separa en tres tablas: gastos (AE), siniestros pagados (CL) y gastos de valuación (VA).</w:t>
      </w:r>
    </w:p>
    <w:p w14:paraId="73541B59" w14:textId="77777777" w:rsidR="00A80C7E" w:rsidRDefault="00000000">
      <w:pPr>
        <w:pStyle w:val="Ttulo2"/>
      </w:pPr>
      <w:bookmarkStart w:id="42" w:name="Xd6daa070dda4d0dc8e0aacd1ad64d164ee6c1b8"/>
      <w:bookmarkStart w:id="43" w:name="_Toc236735082"/>
      <w:r>
        <w:t>Bloque 2 — Formato de la información contable (sección 4)</w:t>
      </w:r>
      <w:bookmarkEnd w:id="42"/>
      <w:bookmarkEnd w:id="43"/>
    </w:p>
    <w:p w14:paraId="73541B5A" w14:textId="77777777" w:rsidR="00A80C7E" w:rsidRDefault="00000000">
      <w:pPr>
        <w:pStyle w:val="FirstParagraph"/>
      </w:pPr>
      <w:r>
        <w:t>El bloque más largo del programa. Sobre las tres tablas contables:</w:t>
      </w:r>
    </w:p>
    <w:p w14:paraId="73541B5B" w14:textId="77777777" w:rsidR="00A80C7E" w:rsidRDefault="00000000">
      <w:pPr>
        <w:pStyle w:val="Compact"/>
        <w:numPr>
          <w:ilvl w:val="0"/>
          <w:numId w:val="8"/>
        </w:numPr>
      </w:pPr>
      <w:r>
        <w:t>Convierte fechas y limpia textos.</w:t>
      </w:r>
    </w:p>
    <w:p w14:paraId="73541B5C" w14:textId="77777777" w:rsidR="00A80C7E" w:rsidRDefault="00000000">
      <w:pPr>
        <w:pStyle w:val="Compact"/>
        <w:numPr>
          <w:ilvl w:val="0"/>
          <w:numId w:val="8"/>
        </w:numPr>
      </w:pPr>
      <w:r>
        <w:t xml:space="preserve">Estandariza la línea de negocio con el mismo catálogo que usa el programa 1, y construye </w:t>
      </w:r>
      <w:r>
        <w:rPr>
          <w:rStyle w:val="VerbatimChar"/>
        </w:rPr>
        <w:t>KEY LOB</w:t>
      </w:r>
      <w:r>
        <w:t>.</w:t>
      </w:r>
    </w:p>
    <w:p w14:paraId="73541B5D" w14:textId="77777777" w:rsidR="00A80C7E" w:rsidRDefault="00000000">
      <w:pPr>
        <w:pStyle w:val="Compact"/>
        <w:numPr>
          <w:ilvl w:val="0"/>
          <w:numId w:val="8"/>
        </w:numPr>
      </w:pPr>
      <w:r>
        <w:rPr>
          <w:b/>
        </w:rPr>
        <w:t>Filtra por fecha:</w:t>
      </w:r>
      <w:r>
        <w:t xml:space="preserve"> solo se consideran movimientos del periodo en curso.</w:t>
      </w:r>
    </w:p>
    <w:p w14:paraId="73541B5E" w14:textId="77777777" w:rsidR="00A80C7E" w:rsidRDefault="00000000">
      <w:pPr>
        <w:pStyle w:val="Compact"/>
        <w:numPr>
          <w:ilvl w:val="0"/>
          <w:numId w:val="8"/>
        </w:numPr>
      </w:pPr>
      <w:r>
        <w:rPr>
          <w:b/>
        </w:rPr>
        <w:t>Filtra por línea de negocio:</w:t>
      </w:r>
      <w:r>
        <w:t xml:space="preserve"> solo lo que corresponde a Marine.</w:t>
      </w:r>
    </w:p>
    <w:p w14:paraId="73541B5F" w14:textId="77777777" w:rsidR="00A80C7E" w:rsidRDefault="00000000">
      <w:pPr>
        <w:pStyle w:val="Compact"/>
        <w:numPr>
          <w:ilvl w:val="0"/>
          <w:numId w:val="8"/>
        </w:numPr>
      </w:pPr>
      <w:r>
        <w:rPr>
          <w:b/>
        </w:rPr>
        <w:t>Filtra por póliza vigente:</w:t>
      </w:r>
      <w:r>
        <w:t xml:space="preserve"> solo generan movimiento los siniestros que están declarados en el BDX del mes. Los pagos sobre pólizas no vigentes se </w:t>
      </w:r>
      <w:r>
        <w:rPr>
          <w:b/>
        </w:rPr>
        <w:t>excluyen pero se reportan</w:t>
      </w:r>
      <w:r>
        <w:t xml:space="preserve"> en </w:t>
      </w:r>
      <w:r>
        <w:rPr>
          <w:rStyle w:val="VerbatimChar"/>
        </w:rPr>
        <w:t>CLAIMS_SIN_POLIZA_VIGENTE_{AñoMes}.xlsx</w:t>
      </w:r>
      <w:r>
        <w:t>, para no perder trazabilidad del monto.</w:t>
      </w:r>
    </w:p>
    <w:p w14:paraId="73541B60" w14:textId="77777777" w:rsidR="00A80C7E" w:rsidRDefault="00000000">
      <w:pPr>
        <w:pStyle w:val="Compact"/>
        <w:numPr>
          <w:ilvl w:val="0"/>
          <w:numId w:val="8"/>
        </w:numPr>
      </w:pPr>
      <w:r>
        <w:rPr>
          <w:b/>
        </w:rPr>
        <w:t>Excluye pólizas de empresas subsidiarias.</w:t>
      </w:r>
    </w:p>
    <w:p w14:paraId="73541B61" w14:textId="77777777" w:rsidR="00A80C7E" w:rsidRDefault="00000000">
      <w:pPr>
        <w:pStyle w:val="Compact"/>
        <w:numPr>
          <w:ilvl w:val="0"/>
          <w:numId w:val="8"/>
        </w:numPr>
      </w:pPr>
      <w:r>
        <w:t xml:space="preserve">Agrupa por </w:t>
      </w:r>
      <w:r>
        <w:rPr>
          <w:rStyle w:val="VerbatimChar"/>
        </w:rPr>
        <w:t>KEY LOB</w:t>
      </w:r>
      <w:r>
        <w:t xml:space="preserve"> y consolida en una sola tabla contable.</w:t>
      </w:r>
    </w:p>
    <w:p w14:paraId="73541B62" w14:textId="77777777" w:rsidR="00A80C7E" w:rsidRDefault="00000000">
      <w:pPr>
        <w:pStyle w:val="FirstParagraph"/>
      </w:pPr>
      <w:r>
        <w:t xml:space="preserve">Al final corre una </w:t>
      </w:r>
      <w:r>
        <w:rPr>
          <w:b/>
        </w:rPr>
        <w:t>reconciliación</w:t>
      </w:r>
      <w:r>
        <w:t>: compara lo que sí llegó a la base final contra el archivo crudo de Contabilidad, por cada concepto. Si al reagrupar por póliza el monto total cambia aunque sea un centavo, el proceso se detiene.</w:t>
      </w:r>
    </w:p>
    <w:p w14:paraId="73541B63" w14:textId="77777777" w:rsidR="00A80C7E" w:rsidRDefault="00000000">
      <w:pPr>
        <w:pStyle w:val="Ttulo2"/>
      </w:pPr>
      <w:bookmarkStart w:id="44" w:name="Xb2ed9f63a75264f23ae06d1f196804f72967e64"/>
      <w:bookmarkStart w:id="45" w:name="_Toc236735083"/>
      <w:r>
        <w:t>Bloque 3 — Cruce de la base con Contabilidad (sección 5)</w:t>
      </w:r>
      <w:bookmarkEnd w:id="44"/>
      <w:bookmarkEnd w:id="45"/>
    </w:p>
    <w:p w14:paraId="73541B64" w14:textId="77777777" w:rsidR="00A80C7E" w:rsidRDefault="00000000">
      <w:pPr>
        <w:pStyle w:val="FirstParagraph"/>
      </w:pPr>
      <w:r>
        <w:t xml:space="preserve">Une la base de siniestros con la información contable por </w:t>
      </w:r>
      <w:r>
        <w:rPr>
          <w:rStyle w:val="VerbatimChar"/>
        </w:rPr>
        <w:t>KEY LOB</w:t>
      </w:r>
      <w:r>
        <w:t>, en siete pasos:</w:t>
      </w:r>
    </w:p>
    <w:p w14:paraId="73541B65" w14:textId="77777777" w:rsidR="00A80C7E" w:rsidRDefault="00000000">
      <w:pPr>
        <w:pStyle w:val="Compact"/>
        <w:numPr>
          <w:ilvl w:val="0"/>
          <w:numId w:val="9"/>
        </w:numPr>
      </w:pPr>
      <w:r>
        <w:t>Limpia columnas duplicadas de ejecuciones anteriores (</w:t>
      </w:r>
      <w:r>
        <w:rPr>
          <w:rStyle w:val="VerbatimChar"/>
        </w:rPr>
        <w:t>_x</w:t>
      </w:r>
      <w:r>
        <w:t xml:space="preserve">, </w:t>
      </w:r>
      <w:r>
        <w:rPr>
          <w:rStyle w:val="VerbatimChar"/>
        </w:rPr>
        <w:t>_y</w:t>
      </w:r>
      <w:r>
        <w:t>).</w:t>
      </w:r>
    </w:p>
    <w:p w14:paraId="73541B66" w14:textId="77777777" w:rsidR="00A80C7E" w:rsidRDefault="00000000">
      <w:pPr>
        <w:pStyle w:val="Compact"/>
        <w:numPr>
          <w:ilvl w:val="0"/>
          <w:numId w:val="9"/>
        </w:numPr>
      </w:pPr>
      <w:r>
        <w:t>Hace el cruce.</w:t>
      </w:r>
    </w:p>
    <w:p w14:paraId="73541B67" w14:textId="77777777" w:rsidR="00A80C7E" w:rsidRDefault="00000000">
      <w:pPr>
        <w:pStyle w:val="Compact"/>
        <w:numPr>
          <w:ilvl w:val="0"/>
          <w:numId w:val="9"/>
        </w:numPr>
      </w:pPr>
      <w:r>
        <w:t>Consolida columnas duplicadas y rellena nulos.</w:t>
      </w:r>
    </w:p>
    <w:p w14:paraId="73541B68" w14:textId="77777777" w:rsidR="00A80C7E" w:rsidRDefault="00000000">
      <w:pPr>
        <w:pStyle w:val="Compact"/>
        <w:numPr>
          <w:ilvl w:val="0"/>
          <w:numId w:val="9"/>
        </w:numPr>
      </w:pPr>
      <w:r>
        <w:rPr>
          <w:b/>
        </w:rPr>
        <w:t>Evita doble conteo</w:t>
      </w:r>
      <w:r>
        <w:t xml:space="preserve"> cuando un mismo </w:t>
      </w:r>
      <w:r>
        <w:rPr>
          <w:rStyle w:val="VerbatimChar"/>
        </w:rPr>
        <w:t>KEY LOB</w:t>
      </w:r>
      <w:r>
        <w:t xml:space="preserve"> tiene varias filas (caso multi-deducible). La regla: si el monto es idéntico en todas las filas, es el mismo pago duplicado por el cruce y se cuenta una sola vez; si difiere entre filas, son pagos de capas distintas y sí se suman.</w:t>
      </w:r>
    </w:p>
    <w:p w14:paraId="73541B69" w14:textId="77777777" w:rsidR="00A80C7E" w:rsidRDefault="00000000">
      <w:pPr>
        <w:pStyle w:val="Compact"/>
        <w:numPr>
          <w:ilvl w:val="0"/>
          <w:numId w:val="9"/>
        </w:numPr>
      </w:pPr>
      <w:r>
        <w:t>Incorpora siniestros que solo existen en Contabilidad.</w:t>
      </w:r>
    </w:p>
    <w:p w14:paraId="73541B6A" w14:textId="77777777" w:rsidR="00A80C7E" w:rsidRDefault="00000000">
      <w:pPr>
        <w:pStyle w:val="Compact"/>
        <w:numPr>
          <w:ilvl w:val="0"/>
          <w:numId w:val="9"/>
        </w:numPr>
      </w:pPr>
      <w:r>
        <w:t>Consolida los campos de identidad remanentes.</w:t>
      </w:r>
    </w:p>
    <w:p w14:paraId="73541B6B" w14:textId="77777777" w:rsidR="00A80C7E" w:rsidRDefault="00000000">
      <w:pPr>
        <w:pStyle w:val="Compact"/>
        <w:numPr>
          <w:ilvl w:val="0"/>
          <w:numId w:val="9"/>
        </w:numPr>
      </w:pPr>
      <w:r>
        <w:lastRenderedPageBreak/>
        <w:t>Validación final de consistencia.</w:t>
      </w:r>
    </w:p>
    <w:p w14:paraId="73541B6C" w14:textId="77777777" w:rsidR="00A80C7E" w:rsidRDefault="00000000">
      <w:pPr>
        <w:pStyle w:val="Ttulo2"/>
      </w:pPr>
      <w:bookmarkStart w:id="46" w:name="bloque-4-cálculo-del-oslr-sección-6"/>
      <w:bookmarkStart w:id="47" w:name="_Toc236735084"/>
      <w:r>
        <w:t>Bloque 4 — Cálculo del OSLR (sección 6)</w:t>
      </w:r>
      <w:bookmarkEnd w:id="46"/>
      <w:bookmarkEnd w:id="47"/>
    </w:p>
    <w:p w14:paraId="73541B6D" w14:textId="77777777" w:rsidR="00A80C7E" w:rsidRDefault="00000000">
      <w:pPr>
        <w:pStyle w:val="FirstParagraph"/>
      </w:pPr>
      <w:r>
        <w:t>El cálculo central del proceso, en tres pasos.</w:t>
      </w:r>
    </w:p>
    <w:p w14:paraId="73541B6E" w14:textId="77777777" w:rsidR="00A80C7E" w:rsidRDefault="00000000">
      <w:pPr>
        <w:pStyle w:val="Ttulo3"/>
      </w:pPr>
      <w:bookmarkStart w:id="48" w:name="paso-1-cálculo-base"/>
      <w:r>
        <w:t>Paso 1 — Cálculo base</w:t>
      </w:r>
      <w:bookmarkEnd w:id="48"/>
    </w:p>
    <w:p w14:paraId="73541B6F" w14:textId="77777777" w:rsidR="00A80C7E" w:rsidRDefault="00000000">
      <w:pPr>
        <w:pStyle w:val="SourceCode"/>
      </w:pPr>
      <w:r>
        <w:rPr>
          <w:rStyle w:val="VerbatimChar"/>
        </w:rPr>
        <w:t>Cumulative CLAIMS PAID = gastos + valuación + siniestros pagados (mes anterior + mes actual)</w:t>
      </w:r>
      <w:r>
        <w:br/>
      </w:r>
      <w:r>
        <w:br/>
      </w:r>
      <w:r>
        <w:rPr>
          <w:rStyle w:val="VerbatimChar"/>
        </w:rPr>
        <w:t>OSLR = máximo( máximo(GROSS RESERVE − DEDUCTIBLE, 0) − Cumulative CLAIMS PAID , 0 )</w:t>
      </w:r>
    </w:p>
    <w:p w14:paraId="73541B70" w14:textId="77777777" w:rsidR="00A80C7E" w:rsidRDefault="00000000">
      <w:pPr>
        <w:pStyle w:val="FirstParagraph"/>
      </w:pPr>
      <w:r>
        <w:t xml:space="preserve">En palabras: lo que queda por pagar es la reserva menos el deducible, menos lo que ya se pagó. Nunca puede ser negativo. </w:t>
      </w:r>
      <w:r>
        <w:rPr>
          <w:b/>
        </w:rPr>
        <w:t>Las pólizas legacy quedan fuera de este cálculo.</w:t>
      </w:r>
    </w:p>
    <w:p w14:paraId="73541B71" w14:textId="77777777" w:rsidR="00A80C7E" w:rsidRDefault="00000000">
      <w:pPr>
        <w:pStyle w:val="Ttulo3"/>
      </w:pPr>
      <w:bookmarkStart w:id="49" w:name="paso-2-verificación-contra-el-bdx"/>
      <w:r>
        <w:t>Paso 2 — Verificación contra el BDX</w:t>
      </w:r>
      <w:bookmarkEnd w:id="49"/>
    </w:p>
    <w:p w14:paraId="73541B72" w14:textId="77777777" w:rsidR="00A80C7E" w:rsidRDefault="00000000">
      <w:pPr>
        <w:pStyle w:val="FirstParagraph"/>
      </w:pPr>
      <w:r>
        <w:t xml:space="preserve">Se compara el OSLR calculado contra el </w:t>
      </w:r>
      <w:r>
        <w:rPr>
          <w:rStyle w:val="VerbatimChar"/>
        </w:rPr>
        <w:t>Net Reserve (USD)</w:t>
      </w:r>
      <w:r>
        <w:t xml:space="preserve"> que trae el BDX, pero </w:t>
      </w:r>
      <w:r>
        <w:rPr>
          <w:b/>
        </w:rPr>
        <w:t>solo</w:t>
      </w:r>
      <w:r>
        <w:t xml:space="preserve"> en siniestros no legacy, abiertos (</w:t>
      </w:r>
      <w:r>
        <w:rPr>
          <w:rStyle w:val="VerbatimChar"/>
        </w:rPr>
        <w:t>STATUS = P</w:t>
      </w:r>
      <w:r>
        <w:t>) y cuando el BDX reporta reserva neta en cero:</w:t>
      </w:r>
    </w:p>
    <w:p w14:paraId="73541B73" w14:textId="77777777" w:rsidR="00A80C7E" w:rsidRDefault="00000000">
      <w:pPr>
        <w:pStyle w:val="Compact"/>
        <w:numPr>
          <w:ilvl w:val="0"/>
          <w:numId w:val="10"/>
        </w:numPr>
      </w:pPr>
      <w:r>
        <w:t>Si el BDX dice cero y el cálculo dice otra cosa → gana el BDX, se fuerza a cero.</w:t>
      </w:r>
    </w:p>
    <w:p w14:paraId="73541B74" w14:textId="77777777" w:rsidR="00A80C7E" w:rsidRDefault="00000000">
      <w:pPr>
        <w:pStyle w:val="Compact"/>
        <w:numPr>
          <w:ilvl w:val="0"/>
          <w:numId w:val="10"/>
        </w:numPr>
      </w:pPr>
      <w:r>
        <w:t>Si el BDX trae cualquier otro valor (incluidos negativos) → se conserva el cálculo, para no introducir reservas negativas.</w:t>
      </w:r>
    </w:p>
    <w:p w14:paraId="73541B75" w14:textId="77777777" w:rsidR="00A80C7E" w:rsidRDefault="00000000">
      <w:pPr>
        <w:pStyle w:val="FirstParagraph"/>
      </w:pPr>
      <w:r>
        <w:t xml:space="preserve">Cada ajuste queda registrado en </w:t>
      </w:r>
      <w:r>
        <w:rPr>
          <w:rStyle w:val="VerbatimChar"/>
        </w:rPr>
        <w:t>Ajustes_OSLR_vs_NetReserve.xlsx</w:t>
      </w:r>
      <w:r>
        <w:t>.</w:t>
      </w:r>
    </w:p>
    <w:p w14:paraId="73541B76" w14:textId="77777777" w:rsidR="00A80C7E" w:rsidRDefault="00000000">
      <w:pPr>
        <w:pStyle w:val="Ttulo3"/>
      </w:pPr>
      <w:bookmarkStart w:id="50" w:name="paso-3-las-seis-reglas-de-zereo"/>
      <w:r>
        <w:t>Paso 3 — Las seis reglas de “zereo”</w:t>
      </w:r>
      <w:bookmarkEnd w:id="50"/>
    </w:p>
    <w:p w14:paraId="73541B77" w14:textId="77777777" w:rsidR="00A80C7E" w:rsidRDefault="00000000">
      <w:pPr>
        <w:pStyle w:val="FirstParagraph"/>
      </w:pPr>
      <w:r>
        <w:t xml:space="preserve">Se aplican en orden. Cada una reporta en pantalla cuántas filas afecta y cuánto dinero elimina, y </w:t>
      </w:r>
      <w:r>
        <w:rPr>
          <w:b/>
        </w:rPr>
        <w:t xml:space="preserve">cada siniestro tocado queda registrado en </w:t>
      </w:r>
      <w:r>
        <w:rPr>
          <w:rStyle w:val="VerbatimChar"/>
          <w:b/>
        </w:rPr>
        <w:t>Log_Zereo_OSLR.xlsx</w:t>
      </w:r>
      <w:r>
        <w:t xml:space="preserve"> con la regla que lo movió y el OSLR antes y después. Eso permite buscar un siniestro en Excel y entender por qué su reserva quedó en cero, sin leer código.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365"/>
        <w:gridCol w:w="1709"/>
        <w:gridCol w:w="6980"/>
      </w:tblGrid>
      <w:tr w:rsidR="00A80C7E" w14:paraId="73541B7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3541B78" w14:textId="77777777" w:rsidR="00A80C7E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3541B79" w14:textId="77777777" w:rsidR="00A80C7E" w:rsidRDefault="00000000">
            <w:pPr>
              <w:pStyle w:val="Compact"/>
            </w:pPr>
            <w:r>
              <w:t>Regla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3541B7A" w14:textId="77777777" w:rsidR="00A80C7E" w:rsidRDefault="00000000">
            <w:pPr>
              <w:pStyle w:val="Compact"/>
            </w:pPr>
            <w:r>
              <w:t>Cuándo aplica</w:t>
            </w:r>
          </w:p>
        </w:tc>
      </w:tr>
      <w:tr w:rsidR="00A80C7E" w14:paraId="73541B7F" w14:textId="77777777">
        <w:tc>
          <w:tcPr>
            <w:tcW w:w="0" w:type="auto"/>
          </w:tcPr>
          <w:p w14:paraId="73541B7C" w14:textId="77777777" w:rsidR="00A80C7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3541B7D" w14:textId="77777777" w:rsidR="00A80C7E" w:rsidRDefault="00000000">
            <w:pPr>
              <w:pStyle w:val="Compact"/>
            </w:pPr>
            <w:r>
              <w:rPr>
                <w:b/>
              </w:rPr>
              <w:t>Ruido / redondeo</w:t>
            </w:r>
          </w:p>
        </w:tc>
        <w:tc>
          <w:tcPr>
            <w:tcW w:w="0" w:type="auto"/>
          </w:tcPr>
          <w:p w14:paraId="73541B7E" w14:textId="77777777" w:rsidR="00A80C7E" w:rsidRDefault="00000000">
            <w:pPr>
              <w:pStyle w:val="Compact"/>
            </w:pPr>
            <w:r>
              <w:t>El OSLR remanente es insignificante (menor al umbral mínimo configurado).</w:t>
            </w:r>
          </w:p>
        </w:tc>
      </w:tr>
      <w:tr w:rsidR="00A80C7E" w14:paraId="73541B83" w14:textId="77777777">
        <w:tc>
          <w:tcPr>
            <w:tcW w:w="0" w:type="auto"/>
          </w:tcPr>
          <w:p w14:paraId="73541B80" w14:textId="77777777" w:rsidR="00A80C7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3541B81" w14:textId="77777777" w:rsidR="00A80C7E" w:rsidRDefault="00000000">
            <w:pPr>
              <w:pStyle w:val="Compact"/>
            </w:pPr>
            <w:r>
              <w:rPr>
                <w:b/>
              </w:rPr>
              <w:t>Ajuste manual</w:t>
            </w:r>
          </w:p>
        </w:tc>
        <w:tc>
          <w:tcPr>
            <w:tcW w:w="0" w:type="auto"/>
          </w:tcPr>
          <w:p w14:paraId="73541B82" w14:textId="77777777" w:rsidR="00A80C7E" w:rsidRDefault="00000000">
            <w:pPr>
              <w:pStyle w:val="Compact"/>
            </w:pPr>
            <w:r>
              <w:t xml:space="preserve">El siniestro está en la lista </w:t>
            </w:r>
            <w:r>
              <w:rPr>
                <w:rStyle w:val="VerbatimChar"/>
              </w:rPr>
              <w:t>OSLR_ZERO_MANUAL</w:t>
            </w:r>
            <w:r>
              <w:t xml:space="preserve"> y la vigencia del ajuste no ha expirado.</w:t>
            </w:r>
          </w:p>
        </w:tc>
      </w:tr>
      <w:tr w:rsidR="00A80C7E" w14:paraId="73541B87" w14:textId="77777777">
        <w:tc>
          <w:tcPr>
            <w:tcW w:w="0" w:type="auto"/>
          </w:tcPr>
          <w:p w14:paraId="73541B84" w14:textId="77777777" w:rsidR="00A80C7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3541B85" w14:textId="77777777" w:rsidR="00A80C7E" w:rsidRDefault="00000000">
            <w:pPr>
              <w:pStyle w:val="Compact"/>
            </w:pPr>
            <w:r>
              <w:rPr>
                <w:b/>
              </w:rPr>
              <w:t>Previo y esperado en cero</w:t>
            </w:r>
          </w:p>
        </w:tc>
        <w:tc>
          <w:tcPr>
            <w:tcW w:w="0" w:type="auto"/>
          </w:tcPr>
          <w:p w14:paraId="73541B86" w14:textId="77777777" w:rsidR="00A80C7E" w:rsidRDefault="00000000">
            <w:pPr>
              <w:pStyle w:val="Compact"/>
            </w:pPr>
            <w:r>
              <w:t>El OSLR del mes pasado fue cero y el recálculo también da cero. Evita “resurrecciones” artificiales de reserva.</w:t>
            </w:r>
          </w:p>
        </w:tc>
      </w:tr>
      <w:tr w:rsidR="00A80C7E" w14:paraId="73541B8B" w14:textId="77777777">
        <w:tc>
          <w:tcPr>
            <w:tcW w:w="0" w:type="auto"/>
          </w:tcPr>
          <w:p w14:paraId="73541B88" w14:textId="77777777" w:rsidR="00A80C7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3541B89" w14:textId="77777777" w:rsidR="00A80C7E" w:rsidRDefault="00000000">
            <w:pPr>
              <w:pStyle w:val="Compact"/>
            </w:pPr>
            <w:r>
              <w:rPr>
                <w:b/>
              </w:rPr>
              <w:t>Legacy nulo</w:t>
            </w:r>
          </w:p>
        </w:tc>
        <w:tc>
          <w:tcPr>
            <w:tcW w:w="0" w:type="auto"/>
          </w:tcPr>
          <w:p w14:paraId="73541B8A" w14:textId="77777777" w:rsidR="00A80C7E" w:rsidRDefault="00000000">
            <w:pPr>
              <w:pStyle w:val="Compact"/>
            </w:pPr>
            <w:r>
              <w:t>Póliza legacy abierta cuyo OSLR quedó vacío. Se fuerza a cero.</w:t>
            </w:r>
          </w:p>
        </w:tc>
      </w:tr>
      <w:tr w:rsidR="00A80C7E" w14:paraId="73541B8F" w14:textId="77777777">
        <w:tc>
          <w:tcPr>
            <w:tcW w:w="0" w:type="auto"/>
          </w:tcPr>
          <w:p w14:paraId="73541B8C" w14:textId="77777777" w:rsidR="00A80C7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3541B8D" w14:textId="77777777" w:rsidR="00A80C7E" w:rsidRDefault="00000000">
            <w:pPr>
              <w:pStyle w:val="Compact"/>
            </w:pPr>
            <w:r>
              <w:rPr>
                <w:b/>
              </w:rPr>
              <w:t>Sin cambios en el mes</w:t>
            </w:r>
          </w:p>
        </w:tc>
        <w:tc>
          <w:tcPr>
            <w:tcW w:w="0" w:type="auto"/>
          </w:tcPr>
          <w:p w14:paraId="73541B8E" w14:textId="77777777" w:rsidR="00A80C7E" w:rsidRDefault="00000000">
            <w:pPr>
              <w:pStyle w:val="Compact"/>
            </w:pPr>
            <w:r>
              <w:t>Siniestro sin movimiento contable, no nuevo, y con reserva y deducible idénticos al mes pasado. Se conserva el OSLR anterior.</w:t>
            </w:r>
          </w:p>
        </w:tc>
      </w:tr>
      <w:tr w:rsidR="00A80C7E" w14:paraId="73541B93" w14:textId="77777777">
        <w:tc>
          <w:tcPr>
            <w:tcW w:w="0" w:type="auto"/>
          </w:tcPr>
          <w:p w14:paraId="73541B90" w14:textId="77777777" w:rsidR="00A80C7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3541B91" w14:textId="77777777" w:rsidR="00A80C7E" w:rsidRDefault="00000000">
            <w:pPr>
              <w:pStyle w:val="Compact"/>
            </w:pPr>
            <w:r>
              <w:rPr>
                <w:b/>
              </w:rPr>
              <w:t xml:space="preserve">KEY LOB </w:t>
            </w:r>
            <w:r>
              <w:rPr>
                <w:b/>
              </w:rPr>
              <w:lastRenderedPageBreak/>
              <w:t>duplicado</w:t>
            </w:r>
          </w:p>
        </w:tc>
        <w:tc>
          <w:tcPr>
            <w:tcW w:w="0" w:type="auto"/>
          </w:tcPr>
          <w:p w14:paraId="73541B92" w14:textId="77777777" w:rsidR="00A80C7E" w:rsidRDefault="00000000">
            <w:pPr>
              <w:pStyle w:val="Compact"/>
            </w:pPr>
            <w:r>
              <w:lastRenderedPageBreak/>
              <w:t xml:space="preserve">El mismo </w:t>
            </w:r>
            <w:r>
              <w:rPr>
                <w:rStyle w:val="VerbatimChar"/>
              </w:rPr>
              <w:t>KEY LOB</w:t>
            </w:r>
            <w:r>
              <w:t xml:space="preserve"> aparece varias veces. Si reserva y deducible </w:t>
            </w:r>
            <w:r>
              <w:lastRenderedPageBreak/>
              <w:t>son iguales en todas las filas, es duplicado del cruce y se conserva el OSLR en una sola. Si difieren, son capas de deducible distintas y se suma el OSLR en la fila principal.</w:t>
            </w:r>
          </w:p>
        </w:tc>
      </w:tr>
    </w:tbl>
    <w:p w14:paraId="73541B94" w14:textId="77777777" w:rsidR="00A80C7E" w:rsidRDefault="00000000">
      <w:pPr>
        <w:pStyle w:val="Ttulo3"/>
      </w:pPr>
      <w:bookmarkStart w:id="51" w:name="blindaje-legacy"/>
      <w:r>
        <w:lastRenderedPageBreak/>
        <w:t>Blindaje legacy</w:t>
      </w:r>
      <w:bookmarkEnd w:id="51"/>
    </w:p>
    <w:p w14:paraId="73541B95" w14:textId="77777777" w:rsidR="00A80C7E" w:rsidRDefault="00000000">
      <w:pPr>
        <w:pStyle w:val="FirstParagraph"/>
      </w:pPr>
      <w:r>
        <w:t xml:space="preserve">Al terminar el cálculo, un candado estructural fuerza a que las pólizas legacy terminen con reserva y deducible congelados en el valor del mes anterior y OSLR en cero — pase lo que pase en el código anterior. Sus pagos contables </w:t>
      </w:r>
      <w:r>
        <w:rPr>
          <w:b/>
        </w:rPr>
        <w:t>sí</w:t>
      </w:r>
      <w:r>
        <w:t xml:space="preserve"> siguen fluyendo normal, porque son movimientos de dinero reales. Se guarda una “foto” de estos valores para volver a verificarlos al final del programa.</w:t>
      </w:r>
    </w:p>
    <w:p w14:paraId="73541B96" w14:textId="77777777" w:rsidR="00A80C7E" w:rsidRDefault="00000000">
      <w:pPr>
        <w:pStyle w:val="Ttulo2"/>
      </w:pPr>
      <w:bookmarkStart w:id="52" w:name="X0d5737d4fe96094560772d5e3bca358ff0416c2"/>
      <w:bookmarkStart w:id="53" w:name="_Toc236735085"/>
      <w:r>
        <w:t>Bloque 5 — Validación de OSLR y fechas (sección 7)</w:t>
      </w:r>
      <w:bookmarkEnd w:id="52"/>
      <w:bookmarkEnd w:id="53"/>
    </w:p>
    <w:p w14:paraId="73541B97" w14:textId="77777777" w:rsidR="00A80C7E" w:rsidRDefault="00000000">
      <w:pPr>
        <w:pStyle w:val="FirstParagraph"/>
      </w:pPr>
      <w:r>
        <w:t>Reporta:</w:t>
      </w:r>
    </w:p>
    <w:p w14:paraId="73541B98" w14:textId="77777777" w:rsidR="00A80C7E" w:rsidRDefault="00000000">
      <w:pPr>
        <w:pStyle w:val="Compact"/>
        <w:numPr>
          <w:ilvl w:val="0"/>
          <w:numId w:val="11"/>
        </w:numPr>
      </w:pPr>
      <w:r>
        <w:t xml:space="preserve">Siniestros donde el OSLR calculado difiere del esperado por más de un dólar → </w:t>
      </w:r>
      <w:r>
        <w:rPr>
          <w:rStyle w:val="VerbatimChar"/>
        </w:rPr>
        <w:t>Incidencias_OSLR.xlsx</w:t>
      </w:r>
      <w:r>
        <w:t>.</w:t>
      </w:r>
    </w:p>
    <w:p w14:paraId="73541B99" w14:textId="77777777" w:rsidR="00A80C7E" w:rsidRDefault="00000000">
      <w:pPr>
        <w:pStyle w:val="Compact"/>
        <w:numPr>
          <w:ilvl w:val="0"/>
          <w:numId w:val="11"/>
        </w:numPr>
      </w:pPr>
      <w:r>
        <w:t xml:space="preserve">Siniestros con fechas incoherentes (siniestro posterior al reporte, fechas fuera de la vigencia de la póliza) → </w:t>
      </w:r>
      <w:r>
        <w:rPr>
          <w:rStyle w:val="VerbatimChar"/>
        </w:rPr>
        <w:t>Incidencias_fechas.xlsx</w:t>
      </w:r>
      <w:r>
        <w:t>, con una columna que indica el tipo de error.</w:t>
      </w:r>
    </w:p>
    <w:p w14:paraId="73541B9A" w14:textId="77777777" w:rsidR="00A80C7E" w:rsidRDefault="00000000">
      <w:pPr>
        <w:pStyle w:val="FirstParagraph"/>
      </w:pPr>
      <w:r>
        <w:t>Los siniestros que solo vienen de Contabilidad se excluyen de estas validaciones, porque no tienen fechas.</w:t>
      </w:r>
    </w:p>
    <w:p w14:paraId="73541B9B" w14:textId="77777777" w:rsidR="00A80C7E" w:rsidRDefault="00000000">
      <w:pPr>
        <w:pStyle w:val="Ttulo2"/>
      </w:pPr>
      <w:bookmarkStart w:id="54" w:name="Xbde35ee6d11af747a565eaf4a9778662f17e58c"/>
      <w:bookmarkStart w:id="55" w:name="_Toc236735086"/>
      <w:r>
        <w:t>Bloque 6 — Validación empírica del OSLR (sección 7.5)</w:t>
      </w:r>
      <w:bookmarkEnd w:id="54"/>
      <w:bookmarkEnd w:id="55"/>
    </w:p>
    <w:p w14:paraId="73541B9C" w14:textId="77777777" w:rsidR="00A80C7E" w:rsidRDefault="00000000">
      <w:pPr>
        <w:pStyle w:val="FirstParagraph"/>
      </w:pPr>
      <w:r>
        <w:t>Una verificación estadística basada en el comportamiento histórico:</w:t>
      </w:r>
    </w:p>
    <w:p w14:paraId="73541B9D" w14:textId="77777777" w:rsidR="00A80C7E" w:rsidRDefault="00000000">
      <w:pPr>
        <w:pStyle w:val="Compact"/>
        <w:numPr>
          <w:ilvl w:val="0"/>
          <w:numId w:val="12"/>
        </w:numPr>
      </w:pPr>
      <w:r>
        <w:t xml:space="preserve">Cuando el OSLR es mayor a cero, en el 98% de los casos el siniestro </w:t>
      </w:r>
      <w:r>
        <w:rPr>
          <w:b/>
        </w:rPr>
        <w:t>no se ha pagado</w:t>
      </w:r>
      <w:r>
        <w:t xml:space="preserve"> y fue reportado hace menos de dos años.</w:t>
      </w:r>
    </w:p>
    <w:p w14:paraId="73541B9E" w14:textId="77777777" w:rsidR="00A80C7E" w:rsidRDefault="00000000">
      <w:pPr>
        <w:pStyle w:val="Compact"/>
        <w:numPr>
          <w:ilvl w:val="0"/>
          <w:numId w:val="12"/>
        </w:numPr>
      </w:pPr>
      <w:r>
        <w:t>Cuando el OSLR es cero, normalmente el siniestro ya se pagó o es antiguo.</w:t>
      </w:r>
    </w:p>
    <w:p w14:paraId="73541B9F" w14:textId="77777777" w:rsidR="00A80C7E" w:rsidRDefault="00000000">
      <w:pPr>
        <w:pStyle w:val="FirstParagraph"/>
      </w:pPr>
      <w:r>
        <w:t xml:space="preserve">Los registros que no siguen este patrón se marcan como </w:t>
      </w:r>
      <w:r>
        <w:rPr>
          <w:b/>
        </w:rPr>
        <w:t>atípicos</w:t>
      </w:r>
      <w:r>
        <w:t xml:space="preserve"> en </w:t>
      </w:r>
      <w:r>
        <w:rPr>
          <w:rStyle w:val="VerbatimChar"/>
        </w:rPr>
        <w:t>Incidencias_OSLR_Patron_Empirico.xlsx</w:t>
      </w:r>
      <w:r>
        <w:t>. No significa que estén mal — significa que vale la pena mirarlos.</w:t>
      </w:r>
    </w:p>
    <w:p w14:paraId="73541BA0" w14:textId="77777777" w:rsidR="00A80C7E" w:rsidRDefault="00000000">
      <w:pPr>
        <w:pStyle w:val="Ttulo2"/>
      </w:pPr>
      <w:bookmarkStart w:id="56" w:name="bloque-7-ajustes-finales-sección-8"/>
      <w:bookmarkStart w:id="57" w:name="_Toc236735087"/>
      <w:r>
        <w:t>Bloque 7 — Ajustes finales (sección 8)</w:t>
      </w:r>
      <w:bookmarkEnd w:id="56"/>
      <w:bookmarkEnd w:id="57"/>
    </w:p>
    <w:p w14:paraId="73541BA1" w14:textId="77777777" w:rsidR="00A80C7E" w:rsidRDefault="00000000">
      <w:pPr>
        <w:pStyle w:val="FirstParagraph"/>
      </w:pPr>
      <w:r>
        <w:t>Rellena nulos remanentes, estandariza los nombres de pólizas y de subsidiarias (quita “PEMEX”, espacios extra, variantes de escritura), elimina columnas auxiliares y ordena la base.</w:t>
      </w:r>
    </w:p>
    <w:p w14:paraId="73541BA2" w14:textId="77777777" w:rsidR="00A80C7E" w:rsidRDefault="00000000">
      <w:pPr>
        <w:pStyle w:val="Textoindependiente"/>
      </w:pPr>
      <w:r>
        <w:t>Cierra volviendo a comparar las pólizas legacy contra la foto tomada en el bloque 4. Si algo las movió, el proceso se detiene.</w:t>
      </w:r>
    </w:p>
    <w:p w14:paraId="73541BA3" w14:textId="77777777" w:rsidR="00A80C7E" w:rsidRDefault="00000000">
      <w:pPr>
        <w:pStyle w:val="Ttulo2"/>
      </w:pPr>
      <w:bookmarkStart w:id="58" w:name="X6f94e36312b14da0df8b6525065a8de49d2ea44"/>
      <w:bookmarkStart w:id="59" w:name="_Toc236735088"/>
      <w:r>
        <w:lastRenderedPageBreak/>
        <w:t>Bloque 8 — Validación de pagos y exportación (secciones 8 y 9)</w:t>
      </w:r>
      <w:bookmarkEnd w:id="58"/>
      <w:bookmarkEnd w:id="59"/>
    </w:p>
    <w:p w14:paraId="73541BA4" w14:textId="77777777" w:rsidR="00A80C7E" w:rsidRDefault="00000000">
      <w:pPr>
        <w:pStyle w:val="FirstParagraph"/>
      </w:pPr>
      <w:r>
        <w:t xml:space="preserve">Antes de exportar, valida que los pagos cuadren por </w:t>
      </w:r>
      <w:r>
        <w:rPr>
          <w:rStyle w:val="VerbatimChar"/>
        </w:rPr>
        <w:t>KEY LOB</w:t>
      </w:r>
      <w:r>
        <w:t>. Si pasa, exporta la base final a Excel y pickle.</w:t>
      </w:r>
    </w:p>
    <w:p w14:paraId="73541BA5" w14:textId="77777777" w:rsidR="00A80C7E" w:rsidRDefault="00000000">
      <w:pPr>
        <w:pStyle w:val="Ttulo2"/>
      </w:pPr>
      <w:bookmarkStart w:id="60" w:name="Xc2deb7cd2e52761205421f2d0ba3f95ddde899d"/>
      <w:bookmarkStart w:id="61" w:name="_Toc236735089"/>
      <w:r>
        <w:t>Bloque 9 — Validación OSLR contra BDX (sección 10)</w:t>
      </w:r>
      <w:bookmarkEnd w:id="60"/>
      <w:bookmarkEnd w:id="61"/>
    </w:p>
    <w:p w14:paraId="73541BA6" w14:textId="77777777" w:rsidR="00A80C7E" w:rsidRDefault="00000000">
      <w:pPr>
        <w:pStyle w:val="FirstParagraph"/>
      </w:pPr>
      <w:r>
        <w:t xml:space="preserve">Un reporte de cierre que compara, a nivel póliza, el OSLR calculado contra el del BDX. Lee el archivo </w:t>
      </w:r>
      <w:r>
        <w:rPr>
          <w:rStyle w:val="VerbatimChar"/>
        </w:rPr>
        <w:t>OSLR {AñoMes}.xlsx</w:t>
      </w:r>
      <w:r>
        <w:t xml:space="preserve"> (único insumo externo de este bloque) y genera </w:t>
      </w:r>
      <w:r>
        <w:rPr>
          <w:rStyle w:val="VerbatimChar"/>
        </w:rPr>
        <w:t>Validacion_OSLR_{AñoMes}.xlsx</w:t>
      </w:r>
      <w:r>
        <w:t xml:space="preserve"> con cuatro hojas: </w:t>
      </w:r>
      <w:r>
        <w:rPr>
          <w:b/>
        </w:rPr>
        <w:t>Validación</w:t>
      </w:r>
      <w:r>
        <w:t xml:space="preserve">, </w:t>
      </w:r>
      <w:r>
        <w:rPr>
          <w:b/>
        </w:rPr>
        <w:t>Detalle BDX</w:t>
      </w:r>
      <w:r>
        <w:t xml:space="preserve">, </w:t>
      </w:r>
      <w:r>
        <w:rPr>
          <w:b/>
        </w:rPr>
        <w:t>Log Zereo OSLR</w:t>
      </w:r>
      <w:r>
        <w:t xml:space="preserve"> y </w:t>
      </w:r>
      <w:r>
        <w:rPr>
          <w:b/>
        </w:rPr>
        <w:t>Zereos por Póliza</w:t>
      </w:r>
      <w:r>
        <w:t>.</w:t>
      </w:r>
    </w:p>
    <w:p w14:paraId="73541BA7" w14:textId="77777777" w:rsidR="00A80C7E" w:rsidRDefault="00000000">
      <w:pPr>
        <w:pStyle w:val="Textoindependiente"/>
      </w:pPr>
      <w:r>
        <w:t>Si falta el archivo de BDX, avisa por consola pero no afecta la base ya exportada.</w:t>
      </w:r>
    </w:p>
    <w:p w14:paraId="73541BA8" w14:textId="77777777" w:rsidR="00A80C7E" w:rsidRDefault="00000000">
      <w:r>
        <w:pict w14:anchorId="73541C9A">
          <v:rect id="_x0000_i1029" style="width:0;height:1.5pt" o:hralign="center" o:hrstd="t" o:hr="t"/>
        </w:pict>
      </w:r>
    </w:p>
    <w:p w14:paraId="73541BA9" w14:textId="77777777" w:rsidR="00A80C7E" w:rsidRDefault="00000000">
      <w:pPr>
        <w:pStyle w:val="Ttulo1"/>
      </w:pPr>
      <w:bookmarkStart w:id="62" w:name="programa-3-validaciones-contables-marine"/>
      <w:bookmarkStart w:id="63" w:name="_Toc236735090"/>
      <w:r>
        <w:t>6. Programa 3 — Validaciones Contables Marine</w:t>
      </w:r>
      <w:bookmarkEnd w:id="62"/>
      <w:bookmarkEnd w:id="63"/>
    </w:p>
    <w:p w14:paraId="73541BAA" w14:textId="77777777" w:rsidR="00A80C7E" w:rsidRDefault="00000000">
      <w:pPr>
        <w:pStyle w:val="FirstParagraph"/>
      </w:pPr>
      <w:r>
        <w:rPr>
          <w:b/>
        </w:rPr>
        <w:t>Objetivo:</w:t>
      </w:r>
      <w:r>
        <w:t xml:space="preserve"> confirmar que la base final coincide con lo que dice Contabilidad, tanto en reservas como en pagos. Es un programa de </w:t>
      </w:r>
      <w:r>
        <w:rPr>
          <w:b/>
        </w:rPr>
        <w:t>control</w:t>
      </w:r>
      <w:r>
        <w:t>: no modifica nada, solo compara y reporta.</w:t>
      </w:r>
    </w:p>
    <w:p w14:paraId="73541BAB" w14:textId="77777777" w:rsidR="00A80C7E" w:rsidRDefault="00000000">
      <w:pPr>
        <w:pStyle w:val="Textoindependiente"/>
      </w:pPr>
      <w:r>
        <w:rPr>
          <w:b/>
        </w:rPr>
        <w:t>Insumos:</w:t>
      </w:r>
      <w:r>
        <w:t xml:space="preserve"> la base final del programa 2, el archivo </w:t>
      </w:r>
      <w:r>
        <w:rPr>
          <w:rStyle w:val="VerbatimChar"/>
        </w:rPr>
        <w:t>OSLR {AñoMes}.xlsx</w:t>
      </w:r>
      <w:r>
        <w:t xml:space="preserve"> y </w:t>
      </w:r>
      <w:r>
        <w:rPr>
          <w:rStyle w:val="VerbatimChar"/>
        </w:rPr>
        <w:t>Payments_{AñoMes}.xlsx</w:t>
      </w:r>
      <w:r>
        <w:t>.</w:t>
      </w:r>
    </w:p>
    <w:p w14:paraId="73541BAC" w14:textId="77777777" w:rsidR="00A80C7E" w:rsidRDefault="00000000">
      <w:pPr>
        <w:pStyle w:val="Textoindependiente"/>
      </w:pPr>
      <w:r>
        <w:rPr>
          <w:b/>
        </w:rPr>
        <w:t>Salida:</w:t>
      </w:r>
      <w:r>
        <w:t xml:space="preserve"> </w:t>
      </w:r>
      <w:r>
        <w:rPr>
          <w:rStyle w:val="VerbatimChar"/>
        </w:rPr>
        <w:t>Validaciones/{AñoMes}/{AñoMes}_Validaciones_Contables_Marine.xlsx</w:t>
      </w:r>
      <w:r>
        <w:t>, con dos hojas.</w:t>
      </w:r>
    </w:p>
    <w:p w14:paraId="73541BAD" w14:textId="77777777" w:rsidR="00A80C7E" w:rsidRDefault="00000000">
      <w:pPr>
        <w:pStyle w:val="Ttulo2"/>
      </w:pPr>
      <w:bookmarkStart w:id="64" w:name="bloque-1-configuración-secciones-1-a-3"/>
      <w:bookmarkStart w:id="65" w:name="_Toc236735091"/>
      <w:r>
        <w:t>Bloque 1 — Configuración (secciones 1 a 3)</w:t>
      </w:r>
      <w:bookmarkEnd w:id="64"/>
      <w:bookmarkEnd w:id="65"/>
    </w:p>
    <w:p w14:paraId="73541BAE" w14:textId="77777777" w:rsidR="00A80C7E" w:rsidRDefault="00000000">
      <w:pPr>
        <w:pStyle w:val="FirstParagraph"/>
      </w:pPr>
      <w:r>
        <w:t xml:space="preserve">Además del periodo actual y el anterior, aquí se define </w:t>
      </w:r>
      <w:r>
        <w:rPr>
          <w:rStyle w:val="VerbatimChar"/>
        </w:rPr>
        <w:t>AñoMes_piv</w:t>
      </w:r>
      <w:r>
        <w:t xml:space="preserve"> — diciembre del año pasado, que sirve como punto de partida para los acumulados del ejercicio.</w:t>
      </w:r>
    </w:p>
    <w:p w14:paraId="73541BAF" w14:textId="77777777" w:rsidR="00A80C7E" w:rsidRDefault="00000000">
      <w:pPr>
        <w:pStyle w:val="Textoindependiente"/>
      </w:pPr>
      <w:r>
        <w:t>Carga la base final, el archivo de OSLR contable y las tres hojas de pagos.</w:t>
      </w:r>
    </w:p>
    <w:p w14:paraId="73541BB0" w14:textId="77777777" w:rsidR="00A80C7E" w:rsidRDefault="00000000">
      <w:pPr>
        <w:pStyle w:val="Ttulo2"/>
      </w:pPr>
      <w:bookmarkStart w:id="66" w:name="bloque-2-preparación-de-datos-sección-4"/>
      <w:bookmarkStart w:id="67" w:name="_Toc236735092"/>
      <w:r>
        <w:t>Bloque 2 — Preparación de datos (sección 4)</w:t>
      </w:r>
      <w:bookmarkEnd w:id="66"/>
      <w:bookmarkEnd w:id="67"/>
    </w:p>
    <w:p w14:paraId="73541BB1" w14:textId="77777777" w:rsidR="00A80C7E" w:rsidRDefault="00000000">
      <w:pPr>
        <w:pStyle w:val="FirstParagraph"/>
      </w:pPr>
      <w:r>
        <w:t xml:space="preserve">Estandariza fechas, textos y nombres de pólizas y coberturas entre las dos fuentes. Aquí se resuelven diferencias históricas de nomenclatura: </w:t>
      </w:r>
      <w:r>
        <w:rPr>
          <w:rStyle w:val="VerbatimChar"/>
        </w:rPr>
        <w:t>P&amp;I</w:t>
      </w:r>
      <w:r>
        <w:t xml:space="preserve"> vs </w:t>
      </w:r>
      <w:r>
        <w:rPr>
          <w:rStyle w:val="VerbatimChar"/>
        </w:rPr>
        <w:t>PANDI</w:t>
      </w:r>
      <w:r>
        <w:t xml:space="preserve">, </w:t>
      </w:r>
      <w:r>
        <w:rPr>
          <w:rStyle w:val="VerbatimChar"/>
        </w:rPr>
        <w:t>E01-2-60-10</w:t>
      </w:r>
      <w:r>
        <w:t xml:space="preserve"> vs su forma larga, </w:t>
      </w:r>
      <w:r>
        <w:rPr>
          <w:rStyle w:val="VerbatimChar"/>
        </w:rPr>
        <w:t>CascoyMaquinaria</w:t>
      </w:r>
      <w:r>
        <w:t xml:space="preserve"> vs </w:t>
      </w:r>
      <w:r>
        <w:rPr>
          <w:rStyle w:val="VerbatimChar"/>
        </w:rPr>
        <w:t>CASCO Y MAQUINARIA</w:t>
      </w:r>
      <w:r>
        <w:t>.</w:t>
      </w:r>
    </w:p>
    <w:p w14:paraId="73541BB2" w14:textId="77777777" w:rsidR="00A80C7E" w:rsidRDefault="00000000">
      <w:pPr>
        <w:pStyle w:val="Textoindependiente"/>
      </w:pPr>
      <w:r>
        <w:t xml:space="preserve">También separa las pólizas que Contabilidad tiene registradas pero </w:t>
      </w:r>
      <w:r>
        <w:rPr>
          <w:b/>
        </w:rPr>
        <w:t>no</w:t>
      </w:r>
      <w:r>
        <w:t xml:space="preserve"> pertenecen a Marine, para excluirlas de la comparación.</w:t>
      </w:r>
    </w:p>
    <w:p w14:paraId="73541BB3" w14:textId="77777777" w:rsidR="00A80C7E" w:rsidRDefault="00000000">
      <w:pPr>
        <w:pStyle w:val="Textoindependiente"/>
      </w:pPr>
      <w:r>
        <w:t>Los registros con OSLR en cero se descartan: no aportan nada a una validación de reservas.</w:t>
      </w:r>
    </w:p>
    <w:p w14:paraId="73541BB4" w14:textId="77777777" w:rsidR="00A80C7E" w:rsidRDefault="00000000">
      <w:pPr>
        <w:pStyle w:val="Ttulo2"/>
      </w:pPr>
      <w:bookmarkStart w:id="68" w:name="bloque-3-validación-de-oslr-sección-5"/>
      <w:bookmarkStart w:id="69" w:name="_Toc236735093"/>
      <w:r>
        <w:lastRenderedPageBreak/>
        <w:t>Bloque 3 — Validación de OSLR (sección 5)</w:t>
      </w:r>
      <w:bookmarkEnd w:id="68"/>
      <w:bookmarkEnd w:id="69"/>
    </w:p>
    <w:p w14:paraId="73541BB5" w14:textId="77777777" w:rsidR="00A80C7E" w:rsidRDefault="00000000">
      <w:pPr>
        <w:pStyle w:val="FirstParagraph"/>
      </w:pPr>
      <w:r>
        <w:t xml:space="preserve">Cruza la reserva pendiente de la base actuarial contra la de Contabilidad, por póliza y cobertura. Marca las llaves que no encuentran par en la otra fuente y calcula la diferencia en pesos. Resultado: hoja </w:t>
      </w:r>
      <w:r>
        <w:rPr>
          <w:b/>
        </w:rPr>
        <w:t>Validacion OSLR</w:t>
      </w:r>
      <w:r>
        <w:t>.</w:t>
      </w:r>
    </w:p>
    <w:p w14:paraId="73541BB6" w14:textId="77777777" w:rsidR="00A80C7E" w:rsidRDefault="00000000">
      <w:pPr>
        <w:pStyle w:val="Ttulo2"/>
      </w:pPr>
      <w:bookmarkStart w:id="70" w:name="bloque-4-validación-de-pagos-sección-6"/>
      <w:bookmarkStart w:id="71" w:name="_Toc236735094"/>
      <w:r>
        <w:t>Bloque 4 — Validación de pagos (sección 6)</w:t>
      </w:r>
      <w:bookmarkEnd w:id="70"/>
      <w:bookmarkEnd w:id="71"/>
    </w:p>
    <w:p w14:paraId="73541BB7" w14:textId="77777777" w:rsidR="00A80C7E" w:rsidRDefault="00000000">
      <w:pPr>
        <w:pStyle w:val="FirstParagraph"/>
      </w:pPr>
      <w:r>
        <w:t>Compara los pagos en tres momentos:</w:t>
      </w:r>
    </w:p>
    <w:p w14:paraId="73541BB8" w14:textId="77777777" w:rsidR="00A80C7E" w:rsidRDefault="00000000">
      <w:pPr>
        <w:pStyle w:val="Compact"/>
        <w:numPr>
          <w:ilvl w:val="0"/>
          <w:numId w:val="13"/>
        </w:numPr>
      </w:pPr>
      <w:r>
        <w:rPr>
          <w:b/>
        </w:rPr>
        <w:t>Acumulado al cierre del año anterior</w:t>
      </w:r>
      <w:r>
        <w:t xml:space="preserve"> (base pivote).</w:t>
      </w:r>
    </w:p>
    <w:p w14:paraId="73541BB9" w14:textId="77777777" w:rsidR="00A80C7E" w:rsidRDefault="00000000">
      <w:pPr>
        <w:pStyle w:val="Compact"/>
        <w:numPr>
          <w:ilvl w:val="0"/>
          <w:numId w:val="13"/>
        </w:numPr>
      </w:pPr>
      <w:r>
        <w:rPr>
          <w:b/>
        </w:rPr>
        <w:t>Acumulado de la base actuarial</w:t>
      </w:r>
      <w:r>
        <w:t xml:space="preserve"> al mes en curso.</w:t>
      </w:r>
    </w:p>
    <w:p w14:paraId="73541BBA" w14:textId="77777777" w:rsidR="00A80C7E" w:rsidRDefault="00000000">
      <w:pPr>
        <w:pStyle w:val="Compact"/>
        <w:numPr>
          <w:ilvl w:val="0"/>
          <w:numId w:val="13"/>
        </w:numPr>
      </w:pPr>
      <w:r>
        <w:rPr>
          <w:b/>
        </w:rPr>
        <w:t>Movimientos del mes</w:t>
      </w:r>
      <w:r>
        <w:t xml:space="preserve"> según los archivos de Contabilidad.</w:t>
      </w:r>
    </w:p>
    <w:p w14:paraId="73541BBB" w14:textId="77777777" w:rsidR="00A80C7E" w:rsidRDefault="00000000">
      <w:pPr>
        <w:pStyle w:val="FirstParagraph"/>
      </w:pPr>
      <w:r>
        <w:t xml:space="preserve">La suma del pivote más los movimientos debe dar el acumulado. Resultado: hoja </w:t>
      </w:r>
      <w:r>
        <w:rPr>
          <w:b/>
        </w:rPr>
        <w:t>Validacion PAGOS</w:t>
      </w:r>
      <w:r>
        <w:t>.</w:t>
      </w:r>
    </w:p>
    <w:p w14:paraId="73541BBC" w14:textId="77777777" w:rsidR="00A80C7E" w:rsidRDefault="00000000">
      <w:pPr>
        <w:pStyle w:val="Ttulo2"/>
      </w:pPr>
      <w:bookmarkStart w:id="72" w:name="bloque-5-exportación-sección-7"/>
      <w:bookmarkStart w:id="73" w:name="_Toc236735095"/>
      <w:r>
        <w:t>Bloque 5 — Exportación (sección 7)</w:t>
      </w:r>
      <w:bookmarkEnd w:id="72"/>
      <w:bookmarkEnd w:id="73"/>
    </w:p>
    <w:p w14:paraId="73541BBD" w14:textId="77777777" w:rsidR="00A80C7E" w:rsidRDefault="00000000">
      <w:pPr>
        <w:pStyle w:val="FirstParagraph"/>
      </w:pPr>
      <w:r>
        <w:t>Redondea a dos decimales y escribe el archivo con las dos hojas.</w:t>
      </w:r>
    </w:p>
    <w:p w14:paraId="73541BBE" w14:textId="77777777" w:rsidR="00A80C7E" w:rsidRDefault="00000000">
      <w:r>
        <w:pict w14:anchorId="73541C9B">
          <v:rect id="_x0000_i1030" style="width:0;height:1.5pt" o:hralign="center" o:hrstd="t" o:hr="t"/>
        </w:pict>
      </w:r>
    </w:p>
    <w:p w14:paraId="73541BBF" w14:textId="77777777" w:rsidR="00A80C7E" w:rsidRDefault="00000000">
      <w:pPr>
        <w:pStyle w:val="Ttulo1"/>
      </w:pPr>
      <w:bookmarkStart w:id="74" w:name="programa-4-limpieza-de-datos-marine"/>
      <w:bookmarkStart w:id="75" w:name="_Toc236735096"/>
      <w:r>
        <w:t>7. Programa 4 — Limpieza de Datos Marine</w:t>
      </w:r>
      <w:bookmarkEnd w:id="74"/>
      <w:bookmarkEnd w:id="75"/>
    </w:p>
    <w:p w14:paraId="73541BC0" w14:textId="77777777" w:rsidR="00A80C7E" w:rsidRDefault="00000000">
      <w:pPr>
        <w:pStyle w:val="FirstParagraph"/>
      </w:pPr>
      <w:r>
        <w:rPr>
          <w:b/>
        </w:rPr>
        <w:t>Objetivo:</w:t>
      </w:r>
      <w:r>
        <w:t xml:space="preserve"> dejar la base lista para consumo humano y para el tablero: textos estandarizados, sin duplicados, con ubicación geográfica identificada.</w:t>
      </w:r>
    </w:p>
    <w:p w14:paraId="73541BC1" w14:textId="77777777" w:rsidR="00A80C7E" w:rsidRDefault="00000000">
      <w:pPr>
        <w:pStyle w:val="Textoindependiente"/>
      </w:pPr>
      <w:r>
        <w:rPr>
          <w:b/>
        </w:rPr>
        <w:t>Insumo:</w:t>
      </w:r>
      <w:r>
        <w:t xml:space="preserve"> </w:t>
      </w:r>
      <w:r>
        <w:rPr>
          <w:rStyle w:val="VerbatimChar"/>
        </w:rPr>
        <w:t>{AñoMes}_Siniestros_Marine.xlsx</w:t>
      </w:r>
      <w:r>
        <w:t xml:space="preserve"> (salida del programa 2).</w:t>
      </w:r>
    </w:p>
    <w:p w14:paraId="73541BC2" w14:textId="77777777" w:rsidR="00A80C7E" w:rsidRDefault="00000000">
      <w:pPr>
        <w:pStyle w:val="Textoindependiente"/>
      </w:pPr>
      <w:r>
        <w:rPr>
          <w:b/>
        </w:rPr>
        <w:t>Salidas:</w:t>
      </w:r>
      <w:r>
        <w:t xml:space="preserve"> </w:t>
      </w:r>
      <w:r>
        <w:rPr>
          <w:rStyle w:val="VerbatimChar"/>
        </w:rPr>
        <w:t>{AñoMes}_Siniestros_Marine_PROCESADO.xlsx</w:t>
      </w:r>
      <w:r>
        <w:t xml:space="preserve">, guardado en </w:t>
      </w:r>
      <w:r>
        <w:rPr>
          <w:b/>
        </w:rPr>
        <w:t>dos ubicaciones</w:t>
      </w:r>
      <w:r>
        <w:t xml:space="preserve"> de OneDrive:</w:t>
      </w:r>
    </w:p>
    <w:p w14:paraId="73541BC3" w14:textId="77777777" w:rsidR="00A80C7E" w:rsidRDefault="00000000">
      <w:pPr>
        <w:pStyle w:val="Compact"/>
        <w:numPr>
          <w:ilvl w:val="0"/>
          <w:numId w:val="14"/>
        </w:numPr>
      </w:pPr>
      <w:r>
        <w:t>La carpeta de base actuarial (`06. DATABASE / 03 Transporte, Carga &amp; Embarcaciones / 02 Bases Actuarial`).</w:t>
      </w:r>
    </w:p>
    <w:p w14:paraId="73541BC4" w14:textId="77777777" w:rsidR="00A80C7E" w:rsidRDefault="00000000">
      <w:pPr>
        <w:pStyle w:val="Compact"/>
        <w:numPr>
          <w:ilvl w:val="0"/>
          <w:numId w:val="14"/>
        </w:numPr>
      </w:pPr>
      <w:r>
        <w:t>La carpeta de trabajo del área (</w:t>
      </w:r>
      <w:r>
        <w:rPr>
          <w:rStyle w:val="VerbatimChar"/>
        </w:rPr>
        <w:t>Transporte, Carga y Embarcaciones / {año} / {periodo}</w:t>
      </w:r>
      <w:r>
        <w:t>).</w:t>
      </w:r>
    </w:p>
    <w:p w14:paraId="73541BC5" w14:textId="77777777" w:rsidR="00A80C7E" w:rsidRDefault="00000000">
      <w:pPr>
        <w:pStyle w:val="Ttulo2"/>
      </w:pPr>
      <w:bookmarkStart w:id="76" w:name="X4544d25c939db6974f7fb9ad08a4cc93626cf03"/>
      <w:bookmarkStart w:id="77" w:name="_Toc236735097"/>
      <w:r>
        <w:t>Bloque 1 — Carga y preparación (secciones 1 a 2)</w:t>
      </w:r>
      <w:bookmarkEnd w:id="76"/>
      <w:bookmarkEnd w:id="77"/>
    </w:p>
    <w:p w14:paraId="73541BC6" w14:textId="77777777" w:rsidR="00A80C7E" w:rsidRDefault="00000000">
      <w:pPr>
        <w:pStyle w:val="FirstParagraph"/>
      </w:pPr>
      <w:r>
        <w:t xml:space="preserve">Carga el archivo del periodo, deduce año y mes del propio nombre del archivo, crea las carpetas de salida, elimina filas completamente vacías y agrega la columna </w:t>
      </w:r>
      <w:r>
        <w:rPr>
          <w:rStyle w:val="VerbatimChar"/>
        </w:rPr>
        <w:t>MES CARGA</w:t>
      </w:r>
      <w:r>
        <w:t>.</w:t>
      </w:r>
    </w:p>
    <w:p w14:paraId="73541BC7" w14:textId="77777777" w:rsidR="00A80C7E" w:rsidRDefault="00000000">
      <w:pPr>
        <w:pStyle w:val="Ttulo2"/>
      </w:pPr>
      <w:bookmarkStart w:id="78" w:name="Xb3ef82b00091db107abe6f1beef770295587666"/>
      <w:bookmarkStart w:id="79" w:name="_Toc236735098"/>
      <w:r>
        <w:t>Bloque 2 — Tratamiento de nulos y herencia (sección 3)</w:t>
      </w:r>
      <w:bookmarkEnd w:id="78"/>
      <w:bookmarkEnd w:id="79"/>
    </w:p>
    <w:p w14:paraId="73541BC8" w14:textId="77777777" w:rsidR="00A80C7E" w:rsidRDefault="00000000">
      <w:pPr>
        <w:pStyle w:val="FirstParagraph"/>
      </w:pPr>
      <w:r>
        <w:t>Cuando un campo viene vacío, el programa intenta deducirlo antes de rendirse:</w:t>
      </w:r>
    </w:p>
    <w:p w14:paraId="73541BC9" w14:textId="77777777" w:rsidR="00A80C7E" w:rsidRDefault="00000000">
      <w:pPr>
        <w:pStyle w:val="Compact"/>
        <w:numPr>
          <w:ilvl w:val="0"/>
          <w:numId w:val="15"/>
        </w:numPr>
      </w:pPr>
      <w:r>
        <w:rPr>
          <w:b/>
        </w:rPr>
        <w:t>Mapeo:</w:t>
      </w:r>
      <w:r>
        <w:t xml:space="preserve"> si </w:t>
      </w:r>
      <w:r>
        <w:rPr>
          <w:rStyle w:val="VerbatimChar"/>
        </w:rPr>
        <w:t>LoB-Inward</w:t>
      </w:r>
      <w:r>
        <w:t xml:space="preserve"> está vacío pero </w:t>
      </w:r>
      <w:r>
        <w:rPr>
          <w:rStyle w:val="VerbatimChar"/>
        </w:rPr>
        <w:t>COVER</w:t>
      </w:r>
      <w:r>
        <w:t xml:space="preserve"> tiene un valor válido, lo deduce del catálogo.</w:t>
      </w:r>
    </w:p>
    <w:p w14:paraId="73541BCA" w14:textId="77777777" w:rsidR="00A80C7E" w:rsidRDefault="00000000">
      <w:pPr>
        <w:pStyle w:val="Compact"/>
        <w:numPr>
          <w:ilvl w:val="0"/>
          <w:numId w:val="15"/>
        </w:numPr>
      </w:pPr>
      <w:r>
        <w:rPr>
          <w:b/>
        </w:rPr>
        <w:lastRenderedPageBreak/>
        <w:t>Herencia por siniestro:</w:t>
      </w:r>
      <w:r>
        <w:t xml:space="preserve"> si un siniestro tiene varias filas y solo una trae la línea de negocio, la cobertura o las fechas de póliza, ese valor se propaga a las demás filas del mismo siniestro.</w:t>
      </w:r>
    </w:p>
    <w:p w14:paraId="73541BCB" w14:textId="77777777" w:rsidR="00A80C7E" w:rsidRDefault="00000000">
      <w:pPr>
        <w:pStyle w:val="Compact"/>
        <w:numPr>
          <w:ilvl w:val="0"/>
          <w:numId w:val="15"/>
        </w:numPr>
      </w:pPr>
      <w:r>
        <w:rPr>
          <w:b/>
        </w:rPr>
        <w:t>Reconstrucción de llaves:</w:t>
      </w:r>
      <w:r>
        <w:t xml:space="preserve"> </w:t>
      </w:r>
      <w:r>
        <w:rPr>
          <w:rStyle w:val="VerbatimChar"/>
        </w:rPr>
        <w:t>CLAIMS-ID</w:t>
      </w:r>
      <w:r>
        <w:t xml:space="preserve"> y </w:t>
      </w:r>
      <w:r>
        <w:rPr>
          <w:rStyle w:val="VerbatimChar"/>
        </w:rPr>
        <w:t>KEY LOB</w:t>
      </w:r>
      <w:r>
        <w:t xml:space="preserve"> se vuelven a armar cuando quedaron dañadas.</w:t>
      </w:r>
    </w:p>
    <w:p w14:paraId="73541BCC" w14:textId="77777777" w:rsidR="00A80C7E" w:rsidRDefault="00000000">
      <w:pPr>
        <w:pStyle w:val="Compact"/>
        <w:numPr>
          <w:ilvl w:val="0"/>
          <w:numId w:val="15"/>
        </w:numPr>
      </w:pPr>
      <w:r>
        <w:t xml:space="preserve">Solo si después de todo eso el campo sigue vacío, se marca como </w:t>
      </w:r>
      <w:r>
        <w:rPr>
          <w:rStyle w:val="VerbatimChar"/>
        </w:rPr>
        <w:t>NO ESPECIFICADO</w:t>
      </w:r>
      <w:r>
        <w:t>.</w:t>
      </w:r>
    </w:p>
    <w:p w14:paraId="73541BCD" w14:textId="77777777" w:rsidR="00A80C7E" w:rsidRDefault="00000000">
      <w:pPr>
        <w:pStyle w:val="Ttulo2"/>
      </w:pPr>
      <w:bookmarkStart w:id="80" w:name="Xe3f1b7dbbca5e1d8fa3d16523a6391641738282"/>
      <w:bookmarkStart w:id="81" w:name="_Toc236735099"/>
      <w:r>
        <w:t>Bloque 3 — Limpieza por columna (sección 3, continuación)</w:t>
      </w:r>
      <w:bookmarkEnd w:id="80"/>
      <w:bookmarkEnd w:id="81"/>
    </w:p>
    <w:p w14:paraId="73541BCE" w14:textId="77777777" w:rsidR="00A80C7E" w:rsidRDefault="00000000">
      <w:pPr>
        <w:pStyle w:val="Compact"/>
        <w:numPr>
          <w:ilvl w:val="0"/>
          <w:numId w:val="16"/>
        </w:numPr>
      </w:pPr>
      <w:r>
        <w:rPr>
          <w:b/>
        </w:rPr>
        <w:t>Número de póliza y de siniestro:</w:t>
      </w:r>
      <w:r>
        <w:t xml:space="preserve"> quita el </w:t>
      </w:r>
      <w:r>
        <w:rPr>
          <w:rStyle w:val="VerbatimChar"/>
        </w:rPr>
        <w:t>.0</w:t>
      </w:r>
      <w:r>
        <w:t xml:space="preserve"> que Excel agrega a los números, las comillas simples y los espacios.</w:t>
      </w:r>
    </w:p>
    <w:p w14:paraId="73541BCF" w14:textId="77777777" w:rsidR="00A80C7E" w:rsidRDefault="00000000">
      <w:pPr>
        <w:pStyle w:val="Compact"/>
        <w:numPr>
          <w:ilvl w:val="0"/>
          <w:numId w:val="16"/>
        </w:numPr>
      </w:pPr>
      <w:r>
        <w:rPr>
          <w:b/>
        </w:rPr>
        <w:t>Descripción y cobertura:</w:t>
      </w:r>
      <w:r>
        <w:t xml:space="preserve"> mayúsculas, sin acentos, sin puntuación ruidosa.</w:t>
      </w:r>
    </w:p>
    <w:p w14:paraId="73541BD0" w14:textId="77777777" w:rsidR="00A80C7E" w:rsidRDefault="00000000">
      <w:pPr>
        <w:pStyle w:val="Compact"/>
        <w:numPr>
          <w:ilvl w:val="0"/>
          <w:numId w:val="16"/>
        </w:numPr>
      </w:pPr>
      <w:r>
        <w:rPr>
          <w:b/>
        </w:rPr>
        <w:t>Columnas de relleno fijo:</w:t>
      </w:r>
      <w:r>
        <w:t xml:space="preserve"> lo que quede vacío se marca como </w:t>
      </w:r>
      <w:r>
        <w:rPr>
          <w:rStyle w:val="VerbatimChar"/>
        </w:rPr>
        <w:t>NO ESPECIFICADO</w:t>
      </w:r>
      <w:r>
        <w:t>.</w:t>
      </w:r>
    </w:p>
    <w:p w14:paraId="73541BD1" w14:textId="77777777" w:rsidR="00A80C7E" w:rsidRDefault="00000000">
      <w:pPr>
        <w:pStyle w:val="Ttulo2"/>
      </w:pPr>
      <w:bookmarkStart w:id="82" w:name="X97cd7eda474ff748b5c81dc5cfa2d987df7ba02"/>
      <w:bookmarkStart w:id="83" w:name="_Toc236735100"/>
      <w:r>
        <w:t>Bloque 4 — Validación de STATUS (sección 3, continuación)</w:t>
      </w:r>
      <w:bookmarkEnd w:id="82"/>
      <w:bookmarkEnd w:id="83"/>
    </w:p>
    <w:p w14:paraId="73541BD2" w14:textId="77777777" w:rsidR="00A80C7E" w:rsidRDefault="00000000">
      <w:pPr>
        <w:pStyle w:val="FirstParagraph"/>
      </w:pPr>
      <w:r>
        <w:t>El estado del siniestro es crítico, así que tiene tratamiento especial:</w:t>
      </w:r>
    </w:p>
    <w:p w14:paraId="73541BD3" w14:textId="77777777" w:rsidR="00A80C7E" w:rsidRDefault="00000000">
      <w:pPr>
        <w:pStyle w:val="Compact"/>
        <w:numPr>
          <w:ilvl w:val="0"/>
          <w:numId w:val="17"/>
        </w:numPr>
      </w:pPr>
      <w:r>
        <w:t>Normaliza la escritura y detecta los que vienen vacíos o inválidos.</w:t>
      </w:r>
    </w:p>
    <w:p w14:paraId="73541BD4" w14:textId="77777777" w:rsidR="00A80C7E" w:rsidRDefault="00000000">
      <w:pPr>
        <w:pStyle w:val="Compact"/>
        <w:numPr>
          <w:ilvl w:val="0"/>
          <w:numId w:val="17"/>
        </w:numPr>
      </w:pPr>
      <w:r>
        <w:rPr>
          <w:b/>
        </w:rPr>
        <w:t>Rescate:</w:t>
      </w:r>
      <w:r>
        <w:t xml:space="preserve"> busca el estado faltante primero en el BDX crudo del periodo, y si no lo encuentra, en las bases procesadas de hasta 12 meses atrás.</w:t>
      </w:r>
    </w:p>
    <w:p w14:paraId="73541BD5" w14:textId="77777777" w:rsidR="00A80C7E" w:rsidRDefault="00000000">
      <w:pPr>
        <w:pStyle w:val="Compact"/>
        <w:numPr>
          <w:ilvl w:val="0"/>
          <w:numId w:val="17"/>
        </w:numPr>
      </w:pPr>
      <w:r>
        <w:t xml:space="preserve">Si aun así queda algún siniestro sin estado, genera un reporte y </w:t>
      </w:r>
      <w:r>
        <w:rPr>
          <w:b/>
        </w:rPr>
        <w:t>detiene la ejecución</w:t>
      </w:r>
      <w:r>
        <w:t>. No se publica una base con estados desconocidos.</w:t>
      </w:r>
    </w:p>
    <w:p w14:paraId="73541BD6" w14:textId="77777777" w:rsidR="00A80C7E" w:rsidRDefault="00000000">
      <w:pPr>
        <w:pStyle w:val="Compact"/>
        <w:numPr>
          <w:ilvl w:val="0"/>
          <w:numId w:val="17"/>
        </w:numPr>
      </w:pPr>
      <w:r>
        <w:rPr>
          <w:b/>
        </w:rPr>
        <w:t>Coherencia financiera</w:t>
      </w:r>
      <w:r>
        <w:t xml:space="preserve"> (solo para pólizas NCGL-070):</w:t>
      </w:r>
    </w:p>
    <w:p w14:paraId="73541BD7" w14:textId="77777777" w:rsidR="00A80C7E" w:rsidRDefault="00000000">
      <w:pPr>
        <w:pStyle w:val="Compact"/>
        <w:numPr>
          <w:ilvl w:val="1"/>
          <w:numId w:val="18"/>
        </w:numPr>
      </w:pPr>
      <w:r>
        <w:rPr>
          <w:rStyle w:val="VerbatimChar"/>
        </w:rPr>
        <w:t>C</w:t>
      </w:r>
      <w:r>
        <w:t xml:space="preserve"> (cancelado) → pagos en cero y OSLR en cero.</w:t>
      </w:r>
    </w:p>
    <w:p w14:paraId="73541BD8" w14:textId="77777777" w:rsidR="00A80C7E" w:rsidRDefault="00000000">
      <w:pPr>
        <w:pStyle w:val="Compact"/>
        <w:numPr>
          <w:ilvl w:val="1"/>
          <w:numId w:val="18"/>
        </w:numPr>
      </w:pPr>
      <w:r>
        <w:rPr>
          <w:rStyle w:val="VerbatimChar"/>
        </w:rPr>
        <w:t>T</w:t>
      </w:r>
      <w:r>
        <w:t xml:space="preserve"> (abierto) → OSLR mayor a cero.</w:t>
      </w:r>
    </w:p>
    <w:p w14:paraId="73541BD9" w14:textId="77777777" w:rsidR="00A80C7E" w:rsidRDefault="00000000">
      <w:pPr>
        <w:pStyle w:val="Compact"/>
        <w:numPr>
          <w:ilvl w:val="1"/>
          <w:numId w:val="18"/>
        </w:numPr>
      </w:pPr>
      <w:r>
        <w:rPr>
          <w:rStyle w:val="VerbatimChar"/>
        </w:rPr>
        <w:t>P</w:t>
      </w:r>
      <w:r>
        <w:t xml:space="preserve"> (pagado) → pagos mayores a cero y OSLR en cero.</w:t>
      </w:r>
    </w:p>
    <w:p w14:paraId="73541BDA" w14:textId="77777777" w:rsidR="00A80C7E" w:rsidRDefault="00000000">
      <w:pPr>
        <w:pStyle w:val="Compact"/>
        <w:numPr>
          <w:ilvl w:val="0"/>
          <w:numId w:val="1"/>
        </w:numPr>
      </w:pPr>
      <w:r>
        <w:t>Si hay violaciones, se reportan y el programa ofrece releer el archivo tras corregir el BDX.</w:t>
      </w:r>
    </w:p>
    <w:p w14:paraId="73541BDB" w14:textId="77777777" w:rsidR="00A80C7E" w:rsidRDefault="00000000">
      <w:pPr>
        <w:pStyle w:val="Compact"/>
        <w:numPr>
          <w:ilvl w:val="0"/>
          <w:numId w:val="17"/>
        </w:numPr>
      </w:pPr>
      <w:r>
        <w:t xml:space="preserve">Regla adicional: si el estado es </w:t>
      </w:r>
      <w:r>
        <w:rPr>
          <w:rStyle w:val="VerbatimChar"/>
        </w:rPr>
        <w:t>P</w:t>
      </w:r>
      <w:r>
        <w:t xml:space="preserve"> y el OSLR es mayor a cero sin justificación documentada, el OSLR se pone en cero y se deja la nota.</w:t>
      </w:r>
    </w:p>
    <w:p w14:paraId="73541BDC" w14:textId="77777777" w:rsidR="00A80C7E" w:rsidRDefault="00000000">
      <w:pPr>
        <w:pStyle w:val="Ttulo2"/>
      </w:pPr>
      <w:bookmarkStart w:id="84" w:name="Xd79af99638be6c9a1a1746fab839ecf4c42c5fc"/>
      <w:bookmarkStart w:id="85" w:name="_Toc236735101"/>
      <w:r>
        <w:t>Bloque 5 — Clasificador de ubicaciones (sección 3.2)</w:t>
      </w:r>
      <w:bookmarkEnd w:id="84"/>
      <w:bookmarkEnd w:id="85"/>
    </w:p>
    <w:p w14:paraId="73541BDD" w14:textId="77777777" w:rsidR="00A80C7E" w:rsidRDefault="00000000">
      <w:pPr>
        <w:pStyle w:val="FirstParagraph"/>
      </w:pPr>
      <w:r>
        <w:t xml:space="preserve">La columna </w:t>
      </w:r>
      <w:r>
        <w:rPr>
          <w:rStyle w:val="VerbatimChar"/>
        </w:rPr>
        <w:t>LOCATION</w:t>
      </w:r>
      <w:r>
        <w:t xml:space="preserve"> viene como texto libre (“KM 45 AUTOPISTA MEXICO-QUERETARO”, “TAD SALINA CRUZ”, “GOLFO DE MEXICO”). Este bloque deduce </w:t>
      </w:r>
      <w:r>
        <w:rPr>
          <w:b/>
        </w:rPr>
        <w:t>estado</w:t>
      </w:r>
      <w:r>
        <w:t xml:space="preserve"> y </w:t>
      </w:r>
      <w:r>
        <w:rPr>
          <w:b/>
        </w:rPr>
        <w:t>país</w:t>
      </w:r>
      <w:r>
        <w:t xml:space="preserve"> en una cascada de ocho etapas, deteniéndose en la primera que acierte:</w:t>
      </w:r>
    </w:p>
    <w:p w14:paraId="73541BDE" w14:textId="77777777" w:rsidR="00A80C7E" w:rsidRDefault="00000000">
      <w:pPr>
        <w:pStyle w:val="Compact"/>
        <w:numPr>
          <w:ilvl w:val="0"/>
          <w:numId w:val="19"/>
        </w:numPr>
      </w:pPr>
      <w:r>
        <w:t>Ubicaciones internacionales por palabra clave.</w:t>
      </w:r>
    </w:p>
    <w:p w14:paraId="73541BDF" w14:textId="77777777" w:rsidR="00A80C7E" w:rsidRDefault="00000000">
      <w:pPr>
        <w:pStyle w:val="Compact"/>
        <w:numPr>
          <w:ilvl w:val="0"/>
          <w:numId w:val="19"/>
        </w:numPr>
      </w:pPr>
      <w:r>
        <w:t>Nombre de estado escrito explícitamente.</w:t>
      </w:r>
    </w:p>
    <w:p w14:paraId="73541BE0" w14:textId="77777777" w:rsidR="00A80C7E" w:rsidRDefault="00000000">
      <w:pPr>
        <w:pStyle w:val="Compact"/>
        <w:numPr>
          <w:ilvl w:val="0"/>
          <w:numId w:val="19"/>
        </w:numPr>
      </w:pPr>
      <w:r>
        <w:t>Abreviaturas de estado.</w:t>
      </w:r>
    </w:p>
    <w:p w14:paraId="73541BE1" w14:textId="77777777" w:rsidR="00A80C7E" w:rsidRDefault="00000000">
      <w:pPr>
        <w:pStyle w:val="Compact"/>
        <w:numPr>
          <w:ilvl w:val="0"/>
          <w:numId w:val="19"/>
        </w:numPr>
      </w:pPr>
      <w:r>
        <w:t>Autopistas y rutas conocidas.</w:t>
      </w:r>
    </w:p>
    <w:p w14:paraId="73541BE2" w14:textId="77777777" w:rsidR="00A80C7E" w:rsidRDefault="00000000">
      <w:pPr>
        <w:pStyle w:val="Compact"/>
        <w:numPr>
          <w:ilvl w:val="0"/>
          <w:numId w:val="19"/>
        </w:numPr>
      </w:pPr>
      <w:r>
        <w:t>Ciudades y municipios (catálogo extenso, estado por estado).</w:t>
      </w:r>
    </w:p>
    <w:p w14:paraId="73541BE3" w14:textId="77777777" w:rsidR="00A80C7E" w:rsidRDefault="00000000">
      <w:pPr>
        <w:pStyle w:val="Compact"/>
        <w:numPr>
          <w:ilvl w:val="0"/>
          <w:numId w:val="19"/>
        </w:numPr>
      </w:pPr>
      <w:r>
        <w:t>Terminales PEMEX: TAD, TAR, TASP, ASA y terminales marítimas.</w:t>
      </w:r>
    </w:p>
    <w:p w14:paraId="73541BE4" w14:textId="77777777" w:rsidR="00A80C7E" w:rsidRDefault="00000000">
      <w:pPr>
        <w:pStyle w:val="Compact"/>
        <w:numPr>
          <w:ilvl w:val="0"/>
          <w:numId w:val="19"/>
        </w:numPr>
      </w:pPr>
      <w:r>
        <w:t>Instalaciones PEMEX: refinerías, plataformas, complejos.</w:t>
      </w:r>
    </w:p>
    <w:p w14:paraId="73541BE5" w14:textId="77777777" w:rsidR="00A80C7E" w:rsidRDefault="00000000">
      <w:pPr>
        <w:pStyle w:val="Compact"/>
        <w:numPr>
          <w:ilvl w:val="0"/>
          <w:numId w:val="19"/>
        </w:numPr>
      </w:pPr>
      <w:r>
        <w:lastRenderedPageBreak/>
        <w:t>Coincidencia aproximada (</w:t>
      </w:r>
      <w:r>
        <w:rPr>
          <w:i/>
        </w:rPr>
        <w:t>fuzzy</w:t>
      </w:r>
      <w:r>
        <w:t>) como último recurso, para tolerar erratas.</w:t>
      </w:r>
    </w:p>
    <w:p w14:paraId="73541BE6" w14:textId="77777777" w:rsidR="00A80C7E" w:rsidRDefault="00000000">
      <w:pPr>
        <w:pStyle w:val="FirstParagraph"/>
      </w:pPr>
      <w:r>
        <w:t>Incluye salvaguardas contra falsos positivos: palabras cortas ambiguas no disparan una clasificación internacional si el texto tiene otras señales de México. Los resultados se cachean, así que ubicaciones repetidas se resuelven una sola vez.</w:t>
      </w:r>
    </w:p>
    <w:p w14:paraId="73541BE7" w14:textId="77777777" w:rsidR="00A80C7E" w:rsidRDefault="00000000">
      <w:pPr>
        <w:pStyle w:val="Ttulo2"/>
      </w:pPr>
      <w:bookmarkStart w:id="86" w:name="bloque-6-duplicados-sección-3.3"/>
      <w:bookmarkStart w:id="87" w:name="_Toc236735102"/>
      <w:r>
        <w:t>Bloque 6 — Duplicados (sección 3.3)</w:t>
      </w:r>
      <w:bookmarkEnd w:id="86"/>
      <w:bookmarkEnd w:id="87"/>
    </w:p>
    <w:p w14:paraId="73541BE8" w14:textId="77777777" w:rsidR="00A80C7E" w:rsidRDefault="00000000">
      <w:pPr>
        <w:pStyle w:val="FirstParagraph"/>
      </w:pPr>
      <w:r>
        <w:t>El caso más delicado del programa: un mismo siniestro puede aparecer en varias filas, y hay que decidir cuál conservar sin perder dinero. La lógica, en orden:</w:t>
      </w:r>
    </w:p>
    <w:p w14:paraId="73541BE9" w14:textId="77777777" w:rsidR="00A80C7E" w:rsidRDefault="00000000">
      <w:pPr>
        <w:pStyle w:val="Compact"/>
        <w:numPr>
          <w:ilvl w:val="0"/>
          <w:numId w:val="20"/>
        </w:numPr>
      </w:pPr>
      <w:r>
        <w:rPr>
          <w:b/>
        </w:rPr>
        <w:t xml:space="preserve">Mismo </w:t>
      </w:r>
      <w:r>
        <w:rPr>
          <w:rStyle w:val="VerbatimChar"/>
          <w:b/>
        </w:rPr>
        <w:t>KEY LOB</w:t>
      </w:r>
      <w:r>
        <w:rPr>
          <w:b/>
        </w:rPr>
        <w:t xml:space="preserve"> → siempre se fusionan</w:t>
      </w:r>
      <w:r>
        <w:t xml:space="preserve"> en una sola fila. Son el mismo registro partido por el cruce contable. Los pagos se suman contando </w:t>
      </w:r>
      <w:r>
        <w:rPr>
          <w:b/>
        </w:rPr>
        <w:t>solo los valores únicos distintos de cero</w:t>
      </w:r>
      <w:r>
        <w:t>, para no duplicar un monto que ya venía repetido. La fila base se elige por completitud, pero si alguna trae reserva real, la base sale forzosamente de esas.</w:t>
      </w:r>
    </w:p>
    <w:p w14:paraId="73541BEA" w14:textId="77777777" w:rsidR="00A80C7E" w:rsidRDefault="00000000">
      <w:pPr>
        <w:pStyle w:val="Compact"/>
        <w:numPr>
          <w:ilvl w:val="0"/>
          <w:numId w:val="20"/>
        </w:numPr>
      </w:pPr>
      <w:r>
        <w:rPr>
          <w:rStyle w:val="VerbatimChar"/>
          <w:b/>
        </w:rPr>
        <w:t>KEY LOB</w:t>
      </w:r>
      <w:r>
        <w:rPr>
          <w:b/>
        </w:rPr>
        <w:t xml:space="preserve"> distinto (multi-deducible legítimo) → gana la fila con pagos reales</w:t>
      </w:r>
      <w:r>
        <w:t>, en cualquiera de los tres conceptos (siniestros, gastos o valuación).</w:t>
      </w:r>
    </w:p>
    <w:p w14:paraId="73541BEB" w14:textId="77777777" w:rsidR="00A80C7E" w:rsidRDefault="00000000">
      <w:pPr>
        <w:pStyle w:val="Compact"/>
        <w:numPr>
          <w:ilvl w:val="0"/>
          <w:numId w:val="20"/>
        </w:numPr>
      </w:pPr>
      <w:r>
        <w:t xml:space="preserve">Si hay conflicto entre estado </w:t>
      </w:r>
      <w:r>
        <w:rPr>
          <w:rStyle w:val="VerbatimChar"/>
        </w:rPr>
        <w:t>P</w:t>
      </w:r>
      <w:r>
        <w:t xml:space="preserve"> y </w:t>
      </w:r>
      <w:r>
        <w:rPr>
          <w:rStyle w:val="VerbatimChar"/>
        </w:rPr>
        <w:t>C</w:t>
      </w:r>
      <w:r>
        <w:t xml:space="preserve">, prevalece </w:t>
      </w:r>
      <w:r>
        <w:rPr>
          <w:rStyle w:val="VerbatimChar"/>
        </w:rPr>
        <w:t>C</w:t>
      </w:r>
      <w:r>
        <w:t>.</w:t>
      </w:r>
    </w:p>
    <w:p w14:paraId="73541BEC" w14:textId="77777777" w:rsidR="00A80C7E" w:rsidRDefault="00000000">
      <w:pPr>
        <w:pStyle w:val="Compact"/>
        <w:numPr>
          <w:ilvl w:val="0"/>
          <w:numId w:val="20"/>
        </w:numPr>
      </w:pPr>
      <w:r>
        <w:t>Después se desempata sucesivamente por deducible, definición financiera, pagos, presencia de reserva, estado, valores numéricos, completitud de campos y, al final, un criterio de desempate fijo.</w:t>
      </w:r>
    </w:p>
    <w:p w14:paraId="73541BED" w14:textId="77777777" w:rsidR="00A80C7E" w:rsidRDefault="00000000">
      <w:pPr>
        <w:pStyle w:val="FirstParagraph"/>
      </w:pPr>
      <w:r>
        <w:t xml:space="preserve">Al terminar corre una </w:t>
      </w:r>
      <w:r>
        <w:rPr>
          <w:b/>
        </w:rPr>
        <w:t>auditoría de colapso</w:t>
      </w:r>
      <w:r>
        <w:t>: compara el estado antes y después de la deduplicación y reporta cuántas filas se fusionaron y si algún monto se movió.</w:t>
      </w:r>
    </w:p>
    <w:p w14:paraId="73541BEE" w14:textId="77777777" w:rsidR="00A80C7E" w:rsidRDefault="00000000">
      <w:pPr>
        <w:pStyle w:val="Textoindependiente"/>
      </w:pPr>
      <w:r>
        <w:t>Finalmente elimina las filas que quedaron con todos los importes en cero, siempre que otra fila del mismo siniestro tenga la misma cobertura (es decir, que no se pierda información).</w:t>
      </w:r>
    </w:p>
    <w:p w14:paraId="73541BEF" w14:textId="77777777" w:rsidR="00A80C7E" w:rsidRDefault="00000000">
      <w:pPr>
        <w:pStyle w:val="Ttulo2"/>
      </w:pPr>
      <w:bookmarkStart w:id="88" w:name="bloque-7-exportación-sección-4"/>
      <w:bookmarkStart w:id="89" w:name="_Toc236735103"/>
      <w:r>
        <w:t>Bloque 7 — Exportación (sección 4)</w:t>
      </w:r>
      <w:bookmarkEnd w:id="88"/>
      <w:bookmarkEnd w:id="89"/>
    </w:p>
    <w:p w14:paraId="73541BF0" w14:textId="77777777" w:rsidR="00A80C7E" w:rsidRDefault="00000000">
      <w:pPr>
        <w:pStyle w:val="FirstParagraph"/>
      </w:pPr>
      <w:r>
        <w:t>Antes de exportar:</w:t>
      </w:r>
    </w:p>
    <w:p w14:paraId="73541BF1" w14:textId="77777777" w:rsidR="00A80C7E" w:rsidRDefault="00000000">
      <w:pPr>
        <w:pStyle w:val="Compact"/>
        <w:numPr>
          <w:ilvl w:val="0"/>
          <w:numId w:val="21"/>
        </w:numPr>
      </w:pPr>
      <w:r>
        <w:rPr>
          <w:b/>
        </w:rPr>
        <w:t>Elimina columnas de trabajo:</w:t>
      </w:r>
      <w:r>
        <w:t xml:space="preserve"> todas las que terminan en un periodo (</w:t>
      </w:r>
      <w:r>
        <w:rPr>
          <w:rStyle w:val="VerbatimChar"/>
        </w:rPr>
        <w:t>GROSS RESERVE 202504</w:t>
      </w:r>
      <w:r>
        <w:t>) y las auxiliares del proceso (</w:t>
      </w:r>
      <w:r>
        <w:rPr>
          <w:rStyle w:val="VerbatimChar"/>
        </w:rPr>
        <w:t>Monthly</w:t>
      </w:r>
      <w:r>
        <w:t xml:space="preserve">, </w:t>
      </w:r>
      <w:r>
        <w:rPr>
          <w:rStyle w:val="VerbatimChar"/>
        </w:rPr>
        <w:t>KEY DED</w:t>
      </w:r>
      <w:r>
        <w:t xml:space="preserve">, </w:t>
      </w:r>
      <w:r>
        <w:rPr>
          <w:rStyle w:val="VerbatimChar"/>
        </w:rPr>
        <w:t>FLAG CONTA</w:t>
      </w:r>
      <w:r>
        <w:t xml:space="preserve">, columnas </w:t>
      </w:r>
      <w:r>
        <w:rPr>
          <w:rStyle w:val="VerbatimChar"/>
        </w:rPr>
        <w:t>BDX</w:t>
      </w:r>
      <w:r>
        <w:t>, observaciones internas).</w:t>
      </w:r>
    </w:p>
    <w:p w14:paraId="73541BF2" w14:textId="77777777" w:rsidR="00A80C7E" w:rsidRDefault="00000000">
      <w:pPr>
        <w:pStyle w:val="Compact"/>
        <w:numPr>
          <w:ilvl w:val="0"/>
          <w:numId w:val="21"/>
        </w:numPr>
      </w:pPr>
      <w:r>
        <w:rPr>
          <w:b/>
        </w:rPr>
        <w:t>Valida:</w:t>
      </w:r>
      <w:r>
        <w:t xml:space="preserve"> imprime total de registros, siniestros únicos y la distribución de estado, cobertura y línea de negocio; alerta si quedan nulos en campos clave.</w:t>
      </w:r>
    </w:p>
    <w:p w14:paraId="73541BF3" w14:textId="77777777" w:rsidR="00A80C7E" w:rsidRDefault="00000000">
      <w:pPr>
        <w:pStyle w:val="Compact"/>
        <w:numPr>
          <w:ilvl w:val="0"/>
          <w:numId w:val="21"/>
        </w:numPr>
      </w:pPr>
      <w:r>
        <w:t>Redondea a dos decimales y escribe el archivo en las dos rutas de OneDrive.</w:t>
      </w:r>
    </w:p>
    <w:p w14:paraId="73541BF4" w14:textId="77777777" w:rsidR="00A80C7E" w:rsidRDefault="00000000">
      <w:r>
        <w:pict w14:anchorId="73541C9C">
          <v:rect id="_x0000_i1031" style="width:0;height:1.5pt" o:hralign="center" o:hrstd="t" o:hr="t"/>
        </w:pict>
      </w:r>
    </w:p>
    <w:p w14:paraId="73541BF5" w14:textId="77777777" w:rsidR="00A80C7E" w:rsidRDefault="00000000">
      <w:pPr>
        <w:pStyle w:val="Ttulo1"/>
      </w:pPr>
      <w:bookmarkStart w:id="90" w:name="X39debe47c5436405af889f758497259bbc72952"/>
      <w:bookmarkStart w:id="91" w:name="_Toc236735104"/>
      <w:r>
        <w:t>8. Programa 5 — Actualización de Tablas Marine</w:t>
      </w:r>
      <w:bookmarkEnd w:id="90"/>
      <w:bookmarkEnd w:id="91"/>
    </w:p>
    <w:p w14:paraId="73541BF6" w14:textId="77777777" w:rsidR="00A80C7E" w:rsidRDefault="00000000">
      <w:pPr>
        <w:pStyle w:val="FirstParagraph"/>
      </w:pPr>
      <w:r>
        <w:rPr>
          <w:b/>
        </w:rPr>
        <w:t>Objetivo:</w:t>
      </w:r>
      <w:r>
        <w:t xml:space="preserve"> publicar la base del mes en SQL Server, para que la consuman los reportes y dashboards.</w:t>
      </w:r>
    </w:p>
    <w:p w14:paraId="73541BF7" w14:textId="77777777" w:rsidR="00A80C7E" w:rsidRDefault="00000000">
      <w:pPr>
        <w:pStyle w:val="Textoindependiente"/>
      </w:pPr>
      <w:r>
        <w:rPr>
          <w:b/>
        </w:rPr>
        <w:lastRenderedPageBreak/>
        <w:t>Insumo:</w:t>
      </w:r>
      <w:r>
        <w:t xml:space="preserve"> </w:t>
      </w:r>
      <w:r>
        <w:rPr>
          <w:rStyle w:val="VerbatimChar"/>
        </w:rPr>
        <w:t>{AñoMes}_Siniestros_Marine_PROCESADO.xlsx</w:t>
      </w:r>
      <w:r>
        <w:t xml:space="preserve"> (salida del programa 4).</w:t>
      </w:r>
    </w:p>
    <w:p w14:paraId="73541BF8" w14:textId="77777777" w:rsidR="00A80C7E" w:rsidRDefault="00000000">
      <w:pPr>
        <w:pStyle w:val="Textoindependiente"/>
      </w:pPr>
      <w:r>
        <w:rPr>
          <w:b/>
        </w:rPr>
        <w:t>Destino:</w:t>
      </w:r>
      <w:r>
        <w:t xml:space="preserve"> dos servidores en paralelo — </w:t>
      </w:r>
      <w:r>
        <w:rPr>
          <w:b/>
        </w:rPr>
        <w:t>Azure</w:t>
      </w:r>
      <w:r>
        <w:t xml:space="preserve"> (</w:t>
      </w:r>
      <w:r>
        <w:rPr>
          <w:rStyle w:val="VerbatimChar"/>
        </w:rPr>
        <w:t>ikaldb.database.windows.net</w:t>
      </w:r>
      <w:r>
        <w:t xml:space="preserve">, base </w:t>
      </w:r>
      <w:r>
        <w:rPr>
          <w:rStyle w:val="VerbatimChar"/>
        </w:rPr>
        <w:t>actuarial</w:t>
      </w:r>
      <w:r>
        <w:t xml:space="preserve">) y </w:t>
      </w:r>
      <w:r>
        <w:rPr>
          <w:b/>
        </w:rPr>
        <w:t>local</w:t>
      </w:r>
      <w:r>
        <w:t xml:space="preserve"> (</w:t>
      </w:r>
      <w:r>
        <w:rPr>
          <w:rStyle w:val="VerbatimChar"/>
        </w:rPr>
        <w:t>SQLEXPRESS</w:t>
      </w:r>
      <w:r>
        <w:t>). Ambos se actualizan con el mismo contenido.</w:t>
      </w:r>
    </w:p>
    <w:p w14:paraId="73541BF9" w14:textId="77777777" w:rsidR="00A80C7E" w:rsidRDefault="00000000">
      <w:pPr>
        <w:pStyle w:val="Ttulo2"/>
      </w:pPr>
      <w:bookmarkStart w:id="92" w:name="las-dos-tablas"/>
      <w:bookmarkStart w:id="93" w:name="_Toc236735105"/>
      <w:r>
        <w:t>Las dos tablas</w:t>
      </w:r>
      <w:bookmarkEnd w:id="92"/>
      <w:bookmarkEnd w:id="93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910"/>
        <w:gridCol w:w="7144"/>
      </w:tblGrid>
      <w:tr w:rsidR="00A80C7E" w14:paraId="73541BF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3541BFA" w14:textId="77777777" w:rsidR="00A80C7E" w:rsidRDefault="00000000">
            <w:pPr>
              <w:pStyle w:val="Compact"/>
            </w:pPr>
            <w:r>
              <w:t>Tabla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3541BFB" w14:textId="77777777" w:rsidR="00A80C7E" w:rsidRDefault="00000000">
            <w:pPr>
              <w:pStyle w:val="Compact"/>
            </w:pPr>
            <w:r>
              <w:t>Comportamiento</w:t>
            </w:r>
          </w:p>
        </w:tc>
      </w:tr>
      <w:tr w:rsidR="00A80C7E" w14:paraId="73541BFF" w14:textId="77777777">
        <w:tc>
          <w:tcPr>
            <w:tcW w:w="0" w:type="auto"/>
          </w:tcPr>
          <w:p w14:paraId="73541BFD" w14:textId="77777777" w:rsidR="00A80C7E" w:rsidRDefault="00000000">
            <w:pPr>
              <w:pStyle w:val="Compact"/>
            </w:pPr>
            <w:r>
              <w:rPr>
                <w:rStyle w:val="VerbatimChar"/>
              </w:rPr>
              <w:t>transporte</w:t>
            </w:r>
          </w:p>
        </w:tc>
        <w:tc>
          <w:tcPr>
            <w:tcW w:w="0" w:type="auto"/>
          </w:tcPr>
          <w:p w14:paraId="73541BFE" w14:textId="77777777" w:rsidR="00A80C7E" w:rsidRDefault="00000000">
            <w:pPr>
              <w:pStyle w:val="Compact"/>
            </w:pPr>
            <w:r>
              <w:t xml:space="preserve">Se </w:t>
            </w:r>
            <w:r>
              <w:rPr>
                <w:b/>
              </w:rPr>
              <w:t>reemplaza</w:t>
            </w:r>
            <w:r>
              <w:t xml:space="preserve"> cada mes. Siempre contiene únicamente el mes más reciente.</w:t>
            </w:r>
          </w:p>
        </w:tc>
      </w:tr>
      <w:tr w:rsidR="00A80C7E" w14:paraId="73541C02" w14:textId="77777777">
        <w:tc>
          <w:tcPr>
            <w:tcW w:w="0" w:type="auto"/>
          </w:tcPr>
          <w:p w14:paraId="73541C00" w14:textId="77777777" w:rsidR="00A80C7E" w:rsidRDefault="00000000">
            <w:pPr>
              <w:pStyle w:val="Compact"/>
            </w:pPr>
            <w:r>
              <w:rPr>
                <w:rStyle w:val="VerbatimChar"/>
              </w:rPr>
              <w:t>transportehist</w:t>
            </w:r>
          </w:p>
        </w:tc>
        <w:tc>
          <w:tcPr>
            <w:tcW w:w="0" w:type="auto"/>
          </w:tcPr>
          <w:p w14:paraId="73541C01" w14:textId="77777777" w:rsidR="00A80C7E" w:rsidRDefault="00000000">
            <w:pPr>
              <w:pStyle w:val="Compact"/>
            </w:pPr>
            <w:r>
              <w:t xml:space="preserve">Se </w:t>
            </w:r>
            <w:r>
              <w:rPr>
                <w:b/>
              </w:rPr>
              <w:t>acumula</w:t>
            </w:r>
            <w:r>
              <w:t xml:space="preserve">. Cada mes se insertan las filas nuevas; la columna </w:t>
            </w:r>
            <w:r>
              <w:rPr>
                <w:rStyle w:val="VerbatimChar"/>
              </w:rPr>
              <w:t>activo</w:t>
            </w:r>
            <w:r>
              <w:t xml:space="preserve"> vale </w:t>
            </w:r>
            <w:r>
              <w:rPr>
                <w:rStyle w:val="VerbatimChar"/>
              </w:rPr>
              <w:t>1</w:t>
            </w:r>
            <w:r>
              <w:t xml:space="preserve"> para el mes más reciente y </w:t>
            </w:r>
            <w:r>
              <w:rPr>
                <w:rStyle w:val="VerbatimChar"/>
              </w:rPr>
              <w:t>0</w:t>
            </w:r>
            <w:r>
              <w:t xml:space="preserve"> para los anteriores.</w:t>
            </w:r>
          </w:p>
        </w:tc>
      </w:tr>
    </w:tbl>
    <w:p w14:paraId="73541C03" w14:textId="77777777" w:rsidR="00A80C7E" w:rsidRDefault="00000000">
      <w:pPr>
        <w:pStyle w:val="Ttulo2"/>
      </w:pPr>
      <w:bookmarkStart w:id="94" w:name="bloque-1-conexiones-sección-2"/>
      <w:bookmarkStart w:id="95" w:name="_Toc236735106"/>
      <w:r>
        <w:t>Bloque 1 — Conexiones (sección 2)</w:t>
      </w:r>
      <w:bookmarkEnd w:id="94"/>
      <w:bookmarkEnd w:id="95"/>
    </w:p>
    <w:p w14:paraId="73541C04" w14:textId="77777777" w:rsidR="00A80C7E" w:rsidRDefault="00000000">
      <w:pPr>
        <w:pStyle w:val="FirstParagraph"/>
      </w:pPr>
      <w:r>
        <w:t>Establece las dos conexiones vía ODBC Driver 17. Azure usa usuario y contraseña; la local usa autenticación de Windows.</w:t>
      </w:r>
    </w:p>
    <w:p w14:paraId="73541C05" w14:textId="77777777" w:rsidR="00A80C7E" w:rsidRDefault="00000000">
      <w:pPr>
        <w:pStyle w:val="Textodebloque"/>
      </w:pPr>
      <w:r>
        <w:rPr>
          <w:b/>
        </w:rPr>
        <w:t>Nota de seguridad:</w:t>
      </w:r>
      <w:r>
        <w:t xml:space="preserve"> la credencial de Azure está escrita directamente en el notebook. Conviene moverla a una variable de entorno o a </w:t>
      </w:r>
      <w:r>
        <w:rPr>
          <w:rStyle w:val="VerbatimChar"/>
        </w:rPr>
        <w:t>config_marine.py</w:t>
      </w:r>
      <w:r>
        <w:t xml:space="preserve"> para no exponerla en el archivo ni en el historial de git.</w:t>
      </w:r>
    </w:p>
    <w:p w14:paraId="73541C06" w14:textId="77777777" w:rsidR="00A80C7E" w:rsidRDefault="00000000">
      <w:pPr>
        <w:pStyle w:val="Ttulo2"/>
      </w:pPr>
      <w:bookmarkStart w:id="96" w:name="X168dc8041e138074c2f8f31671c98c571408196"/>
      <w:bookmarkStart w:id="97" w:name="_Toc236735107"/>
      <w:r>
        <w:t>Bloque 2 — Carga y limpieza opcional (sección 3)</w:t>
      </w:r>
      <w:bookmarkEnd w:id="96"/>
      <w:bookmarkEnd w:id="97"/>
    </w:p>
    <w:p w14:paraId="73541C07" w14:textId="77777777" w:rsidR="00A80C7E" w:rsidRDefault="00000000">
      <w:pPr>
        <w:pStyle w:val="FirstParagraph"/>
      </w:pPr>
      <w:r>
        <w:t xml:space="preserve">Lee el Excel del periodo. Incluye una función </w:t>
      </w:r>
      <w:r>
        <w:rPr>
          <w:rStyle w:val="VerbatimChar"/>
        </w:rPr>
        <w:t>limpiar_tablas_transporte()</w:t>
      </w:r>
      <w:r>
        <w:t xml:space="preserve"> que vacía ambas tablas por completo — está </w:t>
      </w:r>
      <w:r>
        <w:rPr>
          <w:b/>
        </w:rPr>
        <w:t>desactivada por defecto</w:t>
      </w:r>
      <w:r>
        <w:t xml:space="preserve"> (</w:t>
      </w:r>
      <w:r>
        <w:rPr>
          <w:rStyle w:val="VerbatimChar"/>
        </w:rPr>
        <w:t>ejecutar=False</w:t>
      </w:r>
      <w:r>
        <w:t>) y solo debe activarse para una recarga total.</w:t>
      </w:r>
    </w:p>
    <w:p w14:paraId="73541C08" w14:textId="77777777" w:rsidR="00A80C7E" w:rsidRDefault="00000000">
      <w:pPr>
        <w:pStyle w:val="Ttulo2"/>
      </w:pPr>
      <w:bookmarkStart w:id="98" w:name="bloque-3-carga-de-transporte-sección-4"/>
      <w:bookmarkStart w:id="99" w:name="_Toc236735108"/>
      <w:r>
        <w:t xml:space="preserve">Bloque 3 — Carga de </w:t>
      </w:r>
      <w:r>
        <w:rPr>
          <w:rStyle w:val="VerbatimChar"/>
        </w:rPr>
        <w:t>transporte</w:t>
      </w:r>
      <w:r>
        <w:t xml:space="preserve"> (sección 4)</w:t>
      </w:r>
      <w:bookmarkEnd w:id="98"/>
      <w:bookmarkEnd w:id="99"/>
    </w:p>
    <w:p w14:paraId="73541C09" w14:textId="77777777" w:rsidR="00A80C7E" w:rsidRDefault="00000000">
      <w:pPr>
        <w:pStyle w:val="FirstParagraph"/>
      </w:pPr>
      <w:r>
        <w:t>Valida que el periodo tenga formato correcto y que el DataFrame no venga vacío, luego reemplaza la tabla con el mes actual.</w:t>
      </w:r>
    </w:p>
    <w:p w14:paraId="73541C0A" w14:textId="77777777" w:rsidR="00A80C7E" w:rsidRDefault="00000000">
      <w:pPr>
        <w:pStyle w:val="Textoindependiente"/>
      </w:pPr>
      <w:r>
        <w:t>Detalle técnico relevante: los nombres de columna con caracteres especiales (</w:t>
      </w:r>
      <w:r>
        <w:rPr>
          <w:rStyle w:val="VerbatimChar"/>
        </w:rPr>
        <w:t>INWARD POLICY N°</w:t>
      </w:r>
      <w:r>
        <w:t xml:space="preserve">, </w:t>
      </w:r>
      <w:r>
        <w:rPr>
          <w:rStyle w:val="VerbatimChar"/>
        </w:rPr>
        <w:t>CLAIMS-ID</w:t>
      </w:r>
      <w:r>
        <w:t xml:space="preserve">, </w:t>
      </w:r>
      <w:r>
        <w:rPr>
          <w:rStyle w:val="VerbatimChar"/>
        </w:rPr>
        <w:t>ATTRITIONAL/LARGE</w:t>
      </w:r>
      <w:r>
        <w:t xml:space="preserve">, </w:t>
      </w:r>
      <w:r>
        <w:rPr>
          <w:rStyle w:val="VerbatimChar"/>
        </w:rPr>
        <w:t>LoB-Inward</w:t>
      </w:r>
      <w:r>
        <w:t xml:space="preserve">) rompen la inserción estándar de SQL Server. Por eso se renombran temporalmente durante el </w:t>
      </w:r>
      <w:r>
        <w:rPr>
          <w:rStyle w:val="VerbatimChar"/>
        </w:rPr>
        <w:t>INSERT</w:t>
      </w:r>
      <w:r>
        <w:t xml:space="preserve"> y la tabla conserva los nombres originales mediante una cláusula de columnas explícita.</w:t>
      </w:r>
    </w:p>
    <w:p w14:paraId="73541C0B" w14:textId="77777777" w:rsidR="00A80C7E" w:rsidRDefault="00000000">
      <w:pPr>
        <w:pStyle w:val="Ttulo2"/>
      </w:pPr>
      <w:bookmarkStart w:id="100" w:name="X279c25f1dc9b9051992b4669f0853618634a4ed"/>
      <w:bookmarkStart w:id="101" w:name="_Toc236735109"/>
      <w:r>
        <w:t xml:space="preserve">Bloque 4 — Carga de </w:t>
      </w:r>
      <w:r>
        <w:rPr>
          <w:rStyle w:val="VerbatimChar"/>
        </w:rPr>
        <w:t>transportehist</w:t>
      </w:r>
      <w:r>
        <w:t xml:space="preserve"> (sección 5)</w:t>
      </w:r>
      <w:bookmarkEnd w:id="100"/>
      <w:bookmarkEnd w:id="101"/>
    </w:p>
    <w:p w14:paraId="73541C0C" w14:textId="77777777" w:rsidR="00A80C7E" w:rsidRDefault="00000000">
      <w:pPr>
        <w:pStyle w:val="FirstParagraph"/>
      </w:pPr>
      <w:r>
        <w:t>La carga histórica, en cinco pasos:</w:t>
      </w:r>
    </w:p>
    <w:p w14:paraId="73541C0D" w14:textId="77777777" w:rsidR="00A80C7E" w:rsidRDefault="00000000">
      <w:pPr>
        <w:pStyle w:val="Compact"/>
        <w:numPr>
          <w:ilvl w:val="0"/>
          <w:numId w:val="22"/>
        </w:numPr>
      </w:pPr>
      <w:r>
        <w:rPr>
          <w:b/>
        </w:rPr>
        <w:t>Lee la estructura</w:t>
      </w:r>
      <w:r>
        <w:t xml:space="preserve"> de la tabla en SQL y verifica que Azure y local tengan esquemas idénticos.</w:t>
      </w:r>
    </w:p>
    <w:p w14:paraId="73541C0E" w14:textId="77777777" w:rsidR="00A80C7E" w:rsidRDefault="00000000">
      <w:pPr>
        <w:pStyle w:val="Compact"/>
        <w:numPr>
          <w:ilvl w:val="0"/>
          <w:numId w:val="22"/>
        </w:numPr>
      </w:pPr>
      <w:r>
        <w:rPr>
          <w:b/>
        </w:rPr>
        <w:t>Prepara los datos:</w:t>
      </w:r>
      <w:r>
        <w:t xml:space="preserve"> convierte fechas y trunca textos que excedan el largo de la columna, dejando registro de cada valor ajustado.</w:t>
      </w:r>
    </w:p>
    <w:p w14:paraId="73541C0F" w14:textId="77777777" w:rsidR="00A80C7E" w:rsidRDefault="00000000">
      <w:pPr>
        <w:pStyle w:val="Compact"/>
        <w:numPr>
          <w:ilvl w:val="0"/>
          <w:numId w:val="22"/>
        </w:numPr>
      </w:pPr>
      <w:r>
        <w:rPr>
          <w:b/>
        </w:rPr>
        <w:t>Carga a una tabla temporal.</w:t>
      </w:r>
    </w:p>
    <w:p w14:paraId="73541C10" w14:textId="77777777" w:rsidR="00A80C7E" w:rsidRDefault="00000000">
      <w:pPr>
        <w:pStyle w:val="Compact"/>
        <w:numPr>
          <w:ilvl w:val="0"/>
          <w:numId w:val="22"/>
        </w:numPr>
      </w:pPr>
      <w:r>
        <w:rPr>
          <w:b/>
        </w:rPr>
        <w:t>Carga atómica</w:t>
      </w:r>
      <w:r>
        <w:t xml:space="preserve"> (todo o nada, una transacción por servidor):</w:t>
      </w:r>
    </w:p>
    <w:p w14:paraId="73541C11" w14:textId="77777777" w:rsidR="00A80C7E" w:rsidRDefault="00000000">
      <w:pPr>
        <w:pStyle w:val="Compact"/>
        <w:numPr>
          <w:ilvl w:val="1"/>
          <w:numId w:val="23"/>
        </w:numPr>
      </w:pPr>
      <w:r>
        <w:t>Cuenta las filas actuales.</w:t>
      </w:r>
    </w:p>
    <w:p w14:paraId="73541C12" w14:textId="77777777" w:rsidR="00A80C7E" w:rsidRDefault="00000000">
      <w:pPr>
        <w:pStyle w:val="Compact"/>
        <w:numPr>
          <w:ilvl w:val="1"/>
          <w:numId w:val="23"/>
        </w:numPr>
      </w:pPr>
      <w:r>
        <w:lastRenderedPageBreak/>
        <w:t>Borra el mes si ya existía — así el programa se puede volver a correr sin duplicar.</w:t>
      </w:r>
    </w:p>
    <w:p w14:paraId="73541C13" w14:textId="77777777" w:rsidR="00A80C7E" w:rsidRDefault="00000000">
      <w:pPr>
        <w:pStyle w:val="Compact"/>
        <w:numPr>
          <w:ilvl w:val="1"/>
          <w:numId w:val="23"/>
        </w:numPr>
      </w:pPr>
      <w:r>
        <w:t xml:space="preserve">Marca los meses anteriores con </w:t>
      </w:r>
      <w:r>
        <w:rPr>
          <w:rStyle w:val="VerbatimChar"/>
        </w:rPr>
        <w:t>activo = 0</w:t>
      </w:r>
      <w:r>
        <w:t>.</w:t>
      </w:r>
    </w:p>
    <w:p w14:paraId="73541C14" w14:textId="77777777" w:rsidR="00A80C7E" w:rsidRDefault="00000000">
      <w:pPr>
        <w:pStyle w:val="Compact"/>
        <w:numPr>
          <w:ilvl w:val="1"/>
          <w:numId w:val="23"/>
        </w:numPr>
      </w:pPr>
      <w:r>
        <w:t>Inserta el mes nuevo desde la temporal.</w:t>
      </w:r>
    </w:p>
    <w:p w14:paraId="73541C15" w14:textId="77777777" w:rsidR="00A80C7E" w:rsidRDefault="00000000">
      <w:pPr>
        <w:pStyle w:val="Compact"/>
        <w:numPr>
          <w:ilvl w:val="1"/>
          <w:numId w:val="23"/>
        </w:numPr>
      </w:pPr>
      <w:r>
        <w:t>Valida la integridad dentro de la misma transacción; si algo no cuadra, revierte todo.</w:t>
      </w:r>
    </w:p>
    <w:p w14:paraId="73541C16" w14:textId="77777777" w:rsidR="00A80C7E" w:rsidRDefault="00000000">
      <w:pPr>
        <w:pStyle w:val="Compact"/>
        <w:numPr>
          <w:ilvl w:val="0"/>
          <w:numId w:val="22"/>
        </w:numPr>
      </w:pPr>
      <w:r>
        <w:rPr>
          <w:b/>
        </w:rPr>
        <w:t>Resumen y limpieza</w:t>
      </w:r>
      <w:r>
        <w:t xml:space="preserve"> de las tablas temporales.</w:t>
      </w:r>
    </w:p>
    <w:p w14:paraId="73541C17" w14:textId="77777777" w:rsidR="00A80C7E" w:rsidRDefault="00000000">
      <w:r>
        <w:pict w14:anchorId="73541C9D">
          <v:rect id="_x0000_i1032" style="width:0;height:1.5pt" o:hralign="center" o:hrstd="t" o:hr="t"/>
        </w:pict>
      </w:r>
    </w:p>
    <w:p w14:paraId="73541C18" w14:textId="77777777" w:rsidR="00A80C7E" w:rsidRDefault="00000000">
      <w:pPr>
        <w:pStyle w:val="Ttulo1"/>
      </w:pPr>
      <w:bookmarkStart w:id="102" w:name="checklist-mensual"/>
      <w:bookmarkStart w:id="103" w:name="_Toc236735110"/>
      <w:r>
        <w:t>9. Checklist mensual</w:t>
      </w:r>
      <w:bookmarkEnd w:id="102"/>
      <w:bookmarkEnd w:id="103"/>
    </w:p>
    <w:p w14:paraId="73541C19" w14:textId="77777777" w:rsidR="00A80C7E" w:rsidRDefault="00000000">
      <w:pPr>
        <w:pStyle w:val="FirstParagraph"/>
      </w:pPr>
      <w:r>
        <w:rPr>
          <w:b/>
        </w:rPr>
        <w:t>Antes de empezar</w:t>
      </w:r>
    </w:p>
    <w:p w14:paraId="73541C1A" w14:textId="77777777" w:rsidR="00A80C7E" w:rsidRDefault="00000000">
      <w:pPr>
        <w:pStyle w:val="Compact"/>
        <w:numPr>
          <w:ilvl w:val="0"/>
          <w:numId w:val="24"/>
        </w:numPr>
      </w:pPr>
      <w:r>
        <w:t xml:space="preserve">☐ Los BDX del mes están en </w:t>
      </w:r>
      <w:r>
        <w:rPr>
          <w:rStyle w:val="VerbatimChar"/>
        </w:rPr>
        <w:t>Insumos/{AñoMes}/</w:t>
      </w:r>
      <w:r>
        <w:t xml:space="preserve"> con los nombres que espera el programa 1.</w:t>
      </w:r>
    </w:p>
    <w:p w14:paraId="73541C1B" w14:textId="77777777" w:rsidR="00A80C7E" w:rsidRDefault="00000000">
      <w:pPr>
        <w:pStyle w:val="Compact"/>
        <w:numPr>
          <w:ilvl w:val="0"/>
          <w:numId w:val="24"/>
        </w:numPr>
      </w:pPr>
      <w:r>
        <w:t xml:space="preserve">☐ </w:t>
      </w:r>
      <w:r>
        <w:rPr>
          <w:rStyle w:val="VerbatimChar"/>
        </w:rPr>
        <w:t>Payments_{AñoMes}.xlsx</w:t>
      </w:r>
      <w:r>
        <w:t xml:space="preserve"> y </w:t>
      </w:r>
      <w:r>
        <w:rPr>
          <w:rStyle w:val="VerbatimChar"/>
        </w:rPr>
        <w:t>OSLR {AñoMes}.xlsx</w:t>
      </w:r>
      <w:r>
        <w:t xml:space="preserve"> están en la carpeta de Contabilidad.</w:t>
      </w:r>
    </w:p>
    <w:p w14:paraId="73541C1C" w14:textId="77777777" w:rsidR="00A80C7E" w:rsidRDefault="00000000">
      <w:pPr>
        <w:pStyle w:val="Compact"/>
        <w:numPr>
          <w:ilvl w:val="0"/>
          <w:numId w:val="24"/>
        </w:numPr>
      </w:pPr>
      <w:r>
        <w:t>☐ La base procesada del mes anterior existe y es la versión final.</w:t>
      </w:r>
    </w:p>
    <w:p w14:paraId="73541C1D" w14:textId="77777777" w:rsidR="00A80C7E" w:rsidRDefault="00000000">
      <w:pPr>
        <w:pStyle w:val="FirstParagraph"/>
      </w:pPr>
      <w:r>
        <w:rPr>
          <w:b/>
        </w:rPr>
        <w:t>Durante la ejecución</w:t>
      </w:r>
    </w:p>
    <w:p w14:paraId="73541C1E" w14:textId="77777777" w:rsidR="00A80C7E" w:rsidRDefault="00000000">
      <w:pPr>
        <w:pStyle w:val="Compact"/>
        <w:numPr>
          <w:ilvl w:val="0"/>
          <w:numId w:val="25"/>
        </w:numPr>
      </w:pPr>
      <w:r>
        <w:t xml:space="preserve">☐ Programa 1: </w:t>
      </w:r>
      <w:r>
        <w:rPr>
          <w:rStyle w:val="VerbatimChar"/>
        </w:rPr>
        <w:t>AñoMes</w:t>
      </w:r>
      <w:r>
        <w:t xml:space="preserve"> y </w:t>
      </w:r>
      <w:r>
        <w:rPr>
          <w:rStyle w:val="VerbatimChar"/>
        </w:rPr>
        <w:t>AñoMes_ant</w:t>
      </w:r>
      <w:r>
        <w:t xml:space="preserve"> actualizados. Revisar el reporte de coberturas huérfanas y los tres archivos de validación.</w:t>
      </w:r>
    </w:p>
    <w:p w14:paraId="73541C1F" w14:textId="77777777" w:rsidR="00A80C7E" w:rsidRDefault="00000000">
      <w:pPr>
        <w:pStyle w:val="Compact"/>
        <w:numPr>
          <w:ilvl w:val="0"/>
          <w:numId w:val="25"/>
        </w:numPr>
      </w:pPr>
      <w:r>
        <w:t xml:space="preserve">☐ Programa 2: revisar </w:t>
      </w:r>
      <w:r>
        <w:rPr>
          <w:rStyle w:val="VerbatimChar"/>
        </w:rPr>
        <w:t>Log_Zereo_OSLR.xlsx</w:t>
      </w:r>
      <w:r>
        <w:t xml:space="preserve"> — es la explicación de por qué cada reserva quedó donde quedó.</w:t>
      </w:r>
    </w:p>
    <w:p w14:paraId="73541C20" w14:textId="77777777" w:rsidR="00A80C7E" w:rsidRDefault="00000000">
      <w:pPr>
        <w:pStyle w:val="Compact"/>
        <w:numPr>
          <w:ilvl w:val="0"/>
          <w:numId w:val="25"/>
        </w:numPr>
      </w:pPr>
      <w:r>
        <w:t>☐ Programa 3: revisar las dos hojas del archivo de validaciones contables; las diferencias deben tener explicación.</w:t>
      </w:r>
    </w:p>
    <w:p w14:paraId="73541C21" w14:textId="77777777" w:rsidR="00A80C7E" w:rsidRDefault="00000000">
      <w:pPr>
        <w:pStyle w:val="Compact"/>
        <w:numPr>
          <w:ilvl w:val="0"/>
          <w:numId w:val="25"/>
        </w:numPr>
      </w:pPr>
      <w:r>
        <w:t>☐ Programa 4: si se detiene por STATUS faltante, corregir el BDX y volver a correr desde ese punto.</w:t>
      </w:r>
    </w:p>
    <w:p w14:paraId="73541C22" w14:textId="77777777" w:rsidR="00A80C7E" w:rsidRDefault="00000000">
      <w:pPr>
        <w:pStyle w:val="Compact"/>
        <w:numPr>
          <w:ilvl w:val="0"/>
          <w:numId w:val="25"/>
        </w:numPr>
      </w:pPr>
      <w:r>
        <w:t>☐ Programa 5: confirmar que el conteo de filas insertadas coincide en Azure y en local.</w:t>
      </w:r>
    </w:p>
    <w:p w14:paraId="73541C23" w14:textId="77777777" w:rsidR="00A80C7E" w:rsidRDefault="00000000">
      <w:pPr>
        <w:pStyle w:val="FirstParagraph"/>
      </w:pPr>
      <w:r>
        <w:rPr>
          <w:b/>
        </w:rPr>
        <w:t>Al cerrar</w:t>
      </w:r>
    </w:p>
    <w:p w14:paraId="73541C24" w14:textId="77777777" w:rsidR="00A80C7E" w:rsidRDefault="00000000">
      <w:pPr>
        <w:pStyle w:val="Compact"/>
        <w:numPr>
          <w:ilvl w:val="0"/>
          <w:numId w:val="26"/>
        </w:numPr>
      </w:pPr>
      <w:r>
        <w:t>☐ La base publicada está en las dos rutas de OneDrive.</w:t>
      </w:r>
    </w:p>
    <w:p w14:paraId="73541C25" w14:textId="77777777" w:rsidR="00A80C7E" w:rsidRDefault="00000000">
      <w:pPr>
        <w:pStyle w:val="Compact"/>
        <w:numPr>
          <w:ilvl w:val="0"/>
          <w:numId w:val="26"/>
        </w:numPr>
      </w:pPr>
      <w:r>
        <w:t xml:space="preserve">☐ Las incidencias del mes quedaron archivadas en </w:t>
      </w:r>
      <w:r>
        <w:rPr>
          <w:rStyle w:val="VerbatimChar"/>
        </w:rPr>
        <w:t>Incidencias/{AñoMes}/</w:t>
      </w:r>
      <w:r>
        <w:t>.</w:t>
      </w:r>
    </w:p>
    <w:p w14:paraId="73541C26" w14:textId="77777777" w:rsidR="00A80C7E" w:rsidRDefault="00000000">
      <w:r>
        <w:pict w14:anchorId="73541C9E">
          <v:rect id="_x0000_i1033" style="width:0;height:1.5pt" o:hralign="center" o:hrstd="t" o:hr="t"/>
        </w:pict>
      </w:r>
    </w:p>
    <w:p w14:paraId="73541C27" w14:textId="77777777" w:rsidR="00A80C7E" w:rsidRDefault="00000000">
      <w:pPr>
        <w:pStyle w:val="Ttulo1"/>
      </w:pPr>
      <w:bookmarkStart w:id="104" w:name="archivos-que-genera-el-proceso"/>
      <w:bookmarkStart w:id="105" w:name="_Toc236735111"/>
      <w:r>
        <w:t>10. Archivos que genera el proceso</w:t>
      </w:r>
      <w:bookmarkEnd w:id="104"/>
      <w:bookmarkEnd w:id="105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5418"/>
        <w:gridCol w:w="1231"/>
        <w:gridCol w:w="2405"/>
      </w:tblGrid>
      <w:tr w:rsidR="00A80C7E" w14:paraId="73541C2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3541C28" w14:textId="77777777" w:rsidR="00A80C7E" w:rsidRDefault="00000000">
            <w:pPr>
              <w:pStyle w:val="Compact"/>
            </w:pPr>
            <w:r>
              <w:t>Archivo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3541C29" w14:textId="77777777" w:rsidR="00A80C7E" w:rsidRDefault="00000000">
            <w:pPr>
              <w:pStyle w:val="Compact"/>
            </w:pPr>
            <w:r>
              <w:t>Programa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3541C2A" w14:textId="77777777" w:rsidR="00A80C7E" w:rsidRDefault="00000000">
            <w:pPr>
              <w:pStyle w:val="Compact"/>
            </w:pPr>
            <w:r>
              <w:t>Para qué sirve</w:t>
            </w:r>
          </w:p>
        </w:tc>
      </w:tr>
      <w:tr w:rsidR="00A80C7E" w14:paraId="73541C2F" w14:textId="77777777">
        <w:tc>
          <w:tcPr>
            <w:tcW w:w="0" w:type="auto"/>
          </w:tcPr>
          <w:p w14:paraId="73541C2C" w14:textId="77777777" w:rsidR="00A80C7E" w:rsidRDefault="00000000">
            <w:pPr>
              <w:pStyle w:val="Compact"/>
            </w:pPr>
            <w:r>
              <w:rPr>
                <w:rStyle w:val="VerbatimChar"/>
              </w:rPr>
              <w:t>{AñoMes}_BDX_Marine.xlsx</w:t>
            </w:r>
          </w:p>
        </w:tc>
        <w:tc>
          <w:tcPr>
            <w:tcW w:w="0" w:type="auto"/>
          </w:tcPr>
          <w:p w14:paraId="73541C2D" w14:textId="77777777" w:rsidR="00A80C7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3541C2E" w14:textId="77777777" w:rsidR="00A80C7E" w:rsidRDefault="00000000">
            <w:pPr>
              <w:pStyle w:val="Compact"/>
            </w:pPr>
            <w:r>
              <w:t xml:space="preserve">Respaldo del BDX consolidado, antes </w:t>
            </w:r>
            <w:r>
              <w:lastRenderedPageBreak/>
              <w:t>de cualquier cruce.</w:t>
            </w:r>
          </w:p>
        </w:tc>
      </w:tr>
      <w:tr w:rsidR="00A80C7E" w14:paraId="73541C33" w14:textId="77777777">
        <w:tc>
          <w:tcPr>
            <w:tcW w:w="0" w:type="auto"/>
          </w:tcPr>
          <w:p w14:paraId="73541C30" w14:textId="77777777" w:rsidR="00A80C7E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Huerfanos_COVER_{AñoMes}.xlsx</w:t>
            </w:r>
          </w:p>
        </w:tc>
        <w:tc>
          <w:tcPr>
            <w:tcW w:w="0" w:type="auto"/>
          </w:tcPr>
          <w:p w14:paraId="73541C31" w14:textId="77777777" w:rsidR="00A80C7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3541C32" w14:textId="77777777" w:rsidR="00A80C7E" w:rsidRDefault="00000000">
            <w:pPr>
              <w:pStyle w:val="Compact"/>
            </w:pPr>
            <w:r>
              <w:t>Coberturas que no se pudieron clasificar.</w:t>
            </w:r>
          </w:p>
        </w:tc>
      </w:tr>
      <w:tr w:rsidR="00A80C7E" w14:paraId="73541C37" w14:textId="77777777">
        <w:tc>
          <w:tcPr>
            <w:tcW w:w="0" w:type="auto"/>
          </w:tcPr>
          <w:p w14:paraId="73541C34" w14:textId="77777777" w:rsidR="00A80C7E" w:rsidRDefault="00000000">
            <w:pPr>
              <w:pStyle w:val="Compact"/>
            </w:pPr>
            <w:r>
              <w:rPr>
                <w:rStyle w:val="VerbatimChar"/>
              </w:rPr>
              <w:t>no_cruzan.xlsx</w:t>
            </w:r>
          </w:p>
        </w:tc>
        <w:tc>
          <w:tcPr>
            <w:tcW w:w="0" w:type="auto"/>
          </w:tcPr>
          <w:p w14:paraId="73541C35" w14:textId="77777777" w:rsidR="00A80C7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3541C36" w14:textId="77777777" w:rsidR="00A80C7E" w:rsidRDefault="00000000">
            <w:pPr>
              <w:pStyle w:val="Compact"/>
            </w:pPr>
            <w:r>
              <w:t>Siniestros presentes en una base y ausentes en la otra.</w:t>
            </w:r>
          </w:p>
        </w:tc>
      </w:tr>
      <w:tr w:rsidR="00A80C7E" w14:paraId="73541C3B" w14:textId="77777777">
        <w:tc>
          <w:tcPr>
            <w:tcW w:w="0" w:type="auto"/>
          </w:tcPr>
          <w:p w14:paraId="73541C38" w14:textId="77777777" w:rsidR="00A80C7E" w:rsidRDefault="00000000">
            <w:pPr>
              <w:pStyle w:val="Compact"/>
            </w:pPr>
            <w:r>
              <w:rPr>
                <w:rStyle w:val="VerbatimChar"/>
              </w:rPr>
              <w:t>Validacion_deducible.xlsx</w:t>
            </w:r>
          </w:p>
        </w:tc>
        <w:tc>
          <w:tcPr>
            <w:tcW w:w="0" w:type="auto"/>
          </w:tcPr>
          <w:p w14:paraId="73541C39" w14:textId="77777777" w:rsidR="00A80C7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3541C3A" w14:textId="77777777" w:rsidR="00A80C7E" w:rsidRDefault="00000000">
            <w:pPr>
              <w:pStyle w:val="Compact"/>
            </w:pPr>
            <w:r>
              <w:t>Deducibles que cambiaron respecto al mes anterior.</w:t>
            </w:r>
          </w:p>
        </w:tc>
      </w:tr>
      <w:tr w:rsidR="00A80C7E" w14:paraId="73541C3F" w14:textId="77777777">
        <w:tc>
          <w:tcPr>
            <w:tcW w:w="0" w:type="auto"/>
          </w:tcPr>
          <w:p w14:paraId="73541C3C" w14:textId="77777777" w:rsidR="00A80C7E" w:rsidRDefault="00000000">
            <w:pPr>
              <w:pStyle w:val="Compact"/>
            </w:pPr>
            <w:r>
              <w:rPr>
                <w:rStyle w:val="VerbatimChar"/>
              </w:rPr>
              <w:t>Validacion_GR.xlsx</w:t>
            </w:r>
          </w:p>
        </w:tc>
        <w:tc>
          <w:tcPr>
            <w:tcW w:w="0" w:type="auto"/>
          </w:tcPr>
          <w:p w14:paraId="73541C3D" w14:textId="77777777" w:rsidR="00A80C7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3541C3E" w14:textId="77777777" w:rsidR="00A80C7E" w:rsidRDefault="00000000">
            <w:pPr>
              <w:pStyle w:val="Compact"/>
            </w:pPr>
            <w:r>
              <w:t>Reservas brutas que cambiaron teniendo pagos y reserva abierta.</w:t>
            </w:r>
          </w:p>
        </w:tc>
      </w:tr>
      <w:tr w:rsidR="00A80C7E" w14:paraId="73541C43" w14:textId="77777777">
        <w:tc>
          <w:tcPr>
            <w:tcW w:w="0" w:type="auto"/>
          </w:tcPr>
          <w:p w14:paraId="73541C40" w14:textId="77777777" w:rsidR="00A80C7E" w:rsidRDefault="00000000">
            <w:pPr>
              <w:pStyle w:val="Compact"/>
            </w:pPr>
            <w:r>
              <w:rPr>
                <w:rStyle w:val="VerbatimChar"/>
              </w:rPr>
              <w:t>bd_update.xlsx</w:t>
            </w:r>
            <w:r>
              <w:t xml:space="preserve"> / </w:t>
            </w:r>
            <w:r>
              <w:rPr>
                <w:rStyle w:val="VerbatimChar"/>
              </w:rPr>
              <w:t>.pkl</w:t>
            </w:r>
          </w:p>
        </w:tc>
        <w:tc>
          <w:tcPr>
            <w:tcW w:w="0" w:type="auto"/>
          </w:tcPr>
          <w:p w14:paraId="73541C41" w14:textId="77777777" w:rsidR="00A80C7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3541C42" w14:textId="77777777" w:rsidR="00A80C7E" w:rsidRDefault="00000000">
            <w:pPr>
              <w:pStyle w:val="Compact"/>
            </w:pPr>
            <w:r>
              <w:t>Base intermedia, sin información contable.</w:t>
            </w:r>
          </w:p>
        </w:tc>
      </w:tr>
      <w:tr w:rsidR="00A80C7E" w14:paraId="73541C47" w14:textId="77777777">
        <w:tc>
          <w:tcPr>
            <w:tcW w:w="0" w:type="auto"/>
          </w:tcPr>
          <w:p w14:paraId="73541C44" w14:textId="77777777" w:rsidR="00A80C7E" w:rsidRDefault="00000000">
            <w:pPr>
              <w:pStyle w:val="Compact"/>
            </w:pPr>
            <w:r>
              <w:rPr>
                <w:rStyle w:val="VerbatimChar"/>
              </w:rPr>
              <w:t>CLAIMS_SIN_POLIZA_VIGENTE_{AñoMes}.xlsx</w:t>
            </w:r>
          </w:p>
        </w:tc>
        <w:tc>
          <w:tcPr>
            <w:tcW w:w="0" w:type="auto"/>
          </w:tcPr>
          <w:p w14:paraId="73541C45" w14:textId="77777777" w:rsidR="00A80C7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3541C46" w14:textId="77777777" w:rsidR="00A80C7E" w:rsidRDefault="00000000">
            <w:pPr>
              <w:pStyle w:val="Compact"/>
            </w:pPr>
            <w:r>
              <w:t>Pagos sobre pólizas no declaradas en el BDX.</w:t>
            </w:r>
          </w:p>
        </w:tc>
      </w:tr>
      <w:tr w:rsidR="00A80C7E" w14:paraId="73541C4B" w14:textId="77777777">
        <w:tc>
          <w:tcPr>
            <w:tcW w:w="0" w:type="auto"/>
          </w:tcPr>
          <w:p w14:paraId="73541C48" w14:textId="77777777" w:rsidR="00A80C7E" w:rsidRDefault="00000000">
            <w:pPr>
              <w:pStyle w:val="Compact"/>
            </w:pPr>
            <w:r>
              <w:rPr>
                <w:rStyle w:val="VerbatimChar"/>
              </w:rPr>
              <w:t>Ajustes_OSLR_vs_NetReserve.xlsx</w:t>
            </w:r>
          </w:p>
        </w:tc>
        <w:tc>
          <w:tcPr>
            <w:tcW w:w="0" w:type="auto"/>
          </w:tcPr>
          <w:p w14:paraId="73541C49" w14:textId="77777777" w:rsidR="00A80C7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3541C4A" w14:textId="77777777" w:rsidR="00A80C7E" w:rsidRDefault="00000000">
            <w:pPr>
              <w:pStyle w:val="Compact"/>
            </w:pPr>
            <w:r>
              <w:t>OSLR corregidos usando la reserva neta del BDX.</w:t>
            </w:r>
          </w:p>
        </w:tc>
      </w:tr>
      <w:tr w:rsidR="00A80C7E" w14:paraId="73541C4F" w14:textId="77777777">
        <w:tc>
          <w:tcPr>
            <w:tcW w:w="0" w:type="auto"/>
          </w:tcPr>
          <w:p w14:paraId="73541C4C" w14:textId="77777777" w:rsidR="00A80C7E" w:rsidRDefault="00000000">
            <w:pPr>
              <w:pStyle w:val="Compact"/>
            </w:pPr>
            <w:r>
              <w:rPr>
                <w:rStyle w:val="VerbatimChar"/>
              </w:rPr>
              <w:t>Log_Zereo_OSLR.xlsx</w:t>
            </w:r>
          </w:p>
        </w:tc>
        <w:tc>
          <w:tcPr>
            <w:tcW w:w="0" w:type="auto"/>
          </w:tcPr>
          <w:p w14:paraId="73541C4D" w14:textId="77777777" w:rsidR="00A80C7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3541C4E" w14:textId="77777777" w:rsidR="00A80C7E" w:rsidRDefault="00000000">
            <w:pPr>
              <w:pStyle w:val="Compact"/>
            </w:pPr>
            <w:r>
              <w:t>Qué regla puso en cero la reserva de cada siniestro.</w:t>
            </w:r>
          </w:p>
        </w:tc>
      </w:tr>
      <w:tr w:rsidR="00A80C7E" w14:paraId="73541C53" w14:textId="77777777">
        <w:tc>
          <w:tcPr>
            <w:tcW w:w="0" w:type="auto"/>
          </w:tcPr>
          <w:p w14:paraId="73541C50" w14:textId="77777777" w:rsidR="00A80C7E" w:rsidRDefault="00000000">
            <w:pPr>
              <w:pStyle w:val="Compact"/>
            </w:pPr>
            <w:r>
              <w:rPr>
                <w:rStyle w:val="VerbatimChar"/>
              </w:rPr>
              <w:t>Incidencias_OSLR.xlsx</w:t>
            </w:r>
          </w:p>
        </w:tc>
        <w:tc>
          <w:tcPr>
            <w:tcW w:w="0" w:type="auto"/>
          </w:tcPr>
          <w:p w14:paraId="73541C51" w14:textId="77777777" w:rsidR="00A80C7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3541C52" w14:textId="77777777" w:rsidR="00A80C7E" w:rsidRDefault="00000000">
            <w:pPr>
              <w:pStyle w:val="Compact"/>
            </w:pPr>
            <w:r>
              <w:t>Diferencias de OSLR mayores a un dólar.</w:t>
            </w:r>
          </w:p>
        </w:tc>
      </w:tr>
      <w:tr w:rsidR="00A80C7E" w14:paraId="73541C57" w14:textId="77777777">
        <w:tc>
          <w:tcPr>
            <w:tcW w:w="0" w:type="auto"/>
          </w:tcPr>
          <w:p w14:paraId="73541C54" w14:textId="77777777" w:rsidR="00A80C7E" w:rsidRDefault="00000000">
            <w:pPr>
              <w:pStyle w:val="Compact"/>
            </w:pPr>
            <w:r>
              <w:rPr>
                <w:rStyle w:val="VerbatimChar"/>
              </w:rPr>
              <w:t>Incidencias_fechas.xlsx</w:t>
            </w:r>
          </w:p>
        </w:tc>
        <w:tc>
          <w:tcPr>
            <w:tcW w:w="0" w:type="auto"/>
          </w:tcPr>
          <w:p w14:paraId="73541C55" w14:textId="77777777" w:rsidR="00A80C7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3541C56" w14:textId="77777777" w:rsidR="00A80C7E" w:rsidRDefault="00000000">
            <w:pPr>
              <w:pStyle w:val="Compact"/>
            </w:pPr>
            <w:r>
              <w:t>Fechas incoherentes, con el tipo de error.</w:t>
            </w:r>
          </w:p>
        </w:tc>
      </w:tr>
      <w:tr w:rsidR="00A80C7E" w14:paraId="73541C5B" w14:textId="77777777">
        <w:tc>
          <w:tcPr>
            <w:tcW w:w="0" w:type="auto"/>
          </w:tcPr>
          <w:p w14:paraId="73541C58" w14:textId="77777777" w:rsidR="00A80C7E" w:rsidRDefault="00000000">
            <w:pPr>
              <w:pStyle w:val="Compact"/>
            </w:pPr>
            <w:r>
              <w:rPr>
                <w:rStyle w:val="VerbatimChar"/>
              </w:rPr>
              <w:t>Incidencias_OSLR_Patron_Empirico.xlsx</w:t>
            </w:r>
          </w:p>
        </w:tc>
        <w:tc>
          <w:tcPr>
            <w:tcW w:w="0" w:type="auto"/>
          </w:tcPr>
          <w:p w14:paraId="73541C59" w14:textId="77777777" w:rsidR="00A80C7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3541C5A" w14:textId="77777777" w:rsidR="00A80C7E" w:rsidRDefault="00000000">
            <w:pPr>
              <w:pStyle w:val="Compact"/>
            </w:pPr>
            <w:r>
              <w:t>Reservas que se salen del patrón histórico.</w:t>
            </w:r>
          </w:p>
        </w:tc>
      </w:tr>
      <w:tr w:rsidR="00A80C7E" w14:paraId="73541C5F" w14:textId="77777777">
        <w:tc>
          <w:tcPr>
            <w:tcW w:w="0" w:type="auto"/>
          </w:tcPr>
          <w:p w14:paraId="73541C5C" w14:textId="77777777" w:rsidR="00A80C7E" w:rsidRDefault="00000000">
            <w:pPr>
              <w:pStyle w:val="Compact"/>
            </w:pPr>
            <w:r>
              <w:rPr>
                <w:rStyle w:val="VerbatimChar"/>
              </w:rPr>
              <w:t>Validacion_OSLR_{AñoMes}.xlsx</w:t>
            </w:r>
          </w:p>
        </w:tc>
        <w:tc>
          <w:tcPr>
            <w:tcW w:w="0" w:type="auto"/>
          </w:tcPr>
          <w:p w14:paraId="73541C5D" w14:textId="77777777" w:rsidR="00A80C7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3541C5E" w14:textId="77777777" w:rsidR="00A80C7E" w:rsidRDefault="00000000">
            <w:pPr>
              <w:pStyle w:val="Compact"/>
            </w:pPr>
            <w:r>
              <w:t>Comparación OSLR contra BDX a nivel póliza (4 hojas).</w:t>
            </w:r>
          </w:p>
        </w:tc>
      </w:tr>
      <w:tr w:rsidR="00A80C7E" w14:paraId="73541C63" w14:textId="77777777">
        <w:tc>
          <w:tcPr>
            <w:tcW w:w="0" w:type="auto"/>
          </w:tcPr>
          <w:p w14:paraId="73541C60" w14:textId="77777777" w:rsidR="00A80C7E" w:rsidRDefault="00000000">
            <w:pPr>
              <w:pStyle w:val="Compact"/>
            </w:pPr>
            <w:r>
              <w:rPr>
                <w:rStyle w:val="VerbatimChar"/>
              </w:rPr>
              <w:t>{AñoMes}_Siniestros_Marine.xlsx</w:t>
            </w:r>
            <w:r>
              <w:t xml:space="preserve"> / </w:t>
            </w:r>
            <w:r>
              <w:rPr>
                <w:rStyle w:val="VerbatimChar"/>
              </w:rPr>
              <w:t>.pkl</w:t>
            </w:r>
          </w:p>
        </w:tc>
        <w:tc>
          <w:tcPr>
            <w:tcW w:w="0" w:type="auto"/>
          </w:tcPr>
          <w:p w14:paraId="73541C61" w14:textId="77777777" w:rsidR="00A80C7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3541C62" w14:textId="77777777" w:rsidR="00A80C7E" w:rsidRDefault="00000000">
            <w:pPr>
              <w:pStyle w:val="Compact"/>
            </w:pPr>
            <w:r>
              <w:rPr>
                <w:b/>
              </w:rPr>
              <w:t>Base final calculada.</w:t>
            </w:r>
          </w:p>
        </w:tc>
      </w:tr>
      <w:tr w:rsidR="00A80C7E" w14:paraId="73541C67" w14:textId="77777777">
        <w:tc>
          <w:tcPr>
            <w:tcW w:w="0" w:type="auto"/>
          </w:tcPr>
          <w:p w14:paraId="73541C64" w14:textId="77777777" w:rsidR="00A80C7E" w:rsidRDefault="00000000">
            <w:pPr>
              <w:pStyle w:val="Compact"/>
            </w:pPr>
            <w:r>
              <w:rPr>
                <w:rStyle w:val="VerbatimChar"/>
              </w:rPr>
              <w:t>{AñoMes}_Validaciones_Contables_Marine.xlsx</w:t>
            </w:r>
          </w:p>
        </w:tc>
        <w:tc>
          <w:tcPr>
            <w:tcW w:w="0" w:type="auto"/>
          </w:tcPr>
          <w:p w14:paraId="73541C65" w14:textId="77777777" w:rsidR="00A80C7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3541C66" w14:textId="77777777" w:rsidR="00A80C7E" w:rsidRDefault="00000000">
            <w:pPr>
              <w:pStyle w:val="Compact"/>
            </w:pPr>
            <w:r>
              <w:t>Validación de OSLR y de pagos contra Contabilidad.</w:t>
            </w:r>
          </w:p>
        </w:tc>
      </w:tr>
      <w:tr w:rsidR="00A80C7E" w14:paraId="73541C6B" w14:textId="77777777">
        <w:tc>
          <w:tcPr>
            <w:tcW w:w="0" w:type="auto"/>
          </w:tcPr>
          <w:p w14:paraId="73541C68" w14:textId="77777777" w:rsidR="00A80C7E" w:rsidRDefault="00000000">
            <w:pPr>
              <w:pStyle w:val="Compact"/>
            </w:pPr>
            <w:r>
              <w:rPr>
                <w:rStyle w:val="VerbatimChar"/>
              </w:rPr>
              <w:t>{AñoMes}_Siniestros_Marine_PROCESADO.xlsx</w:t>
            </w:r>
          </w:p>
        </w:tc>
        <w:tc>
          <w:tcPr>
            <w:tcW w:w="0" w:type="auto"/>
          </w:tcPr>
          <w:p w14:paraId="73541C69" w14:textId="77777777" w:rsidR="00A80C7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3541C6A" w14:textId="77777777" w:rsidR="00A80C7E" w:rsidRDefault="00000000">
            <w:pPr>
              <w:pStyle w:val="Compact"/>
            </w:pPr>
            <w:r>
              <w:rPr>
                <w:b/>
              </w:rPr>
              <w:t>Base publicable</w:t>
            </w:r>
            <w:r>
              <w:t>, limpia y deduplicada.</w:t>
            </w:r>
          </w:p>
        </w:tc>
      </w:tr>
      <w:tr w:rsidR="00A80C7E" w14:paraId="73541C6F" w14:textId="77777777">
        <w:tc>
          <w:tcPr>
            <w:tcW w:w="0" w:type="auto"/>
          </w:tcPr>
          <w:p w14:paraId="73541C6C" w14:textId="77777777" w:rsidR="00A80C7E" w:rsidRDefault="00000000">
            <w:pPr>
              <w:pStyle w:val="Compact"/>
            </w:pPr>
            <w:r>
              <w:lastRenderedPageBreak/>
              <w:t xml:space="preserve">Tablas </w:t>
            </w:r>
            <w:r>
              <w:rPr>
                <w:rStyle w:val="VerbatimChar"/>
              </w:rPr>
              <w:t>transporte</w:t>
            </w:r>
            <w:r>
              <w:t xml:space="preserve"> / </w:t>
            </w:r>
            <w:r>
              <w:rPr>
                <w:rStyle w:val="VerbatimChar"/>
              </w:rPr>
              <w:t>transportehist</w:t>
            </w:r>
          </w:p>
        </w:tc>
        <w:tc>
          <w:tcPr>
            <w:tcW w:w="0" w:type="auto"/>
          </w:tcPr>
          <w:p w14:paraId="73541C6D" w14:textId="77777777" w:rsidR="00A80C7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3541C6E" w14:textId="77777777" w:rsidR="00A80C7E" w:rsidRDefault="00000000">
            <w:pPr>
              <w:pStyle w:val="Compact"/>
            </w:pPr>
            <w:r>
              <w:t>Base en SQL Server para reportes y dashboards.</w:t>
            </w:r>
          </w:p>
        </w:tc>
      </w:tr>
    </w:tbl>
    <w:p w14:paraId="73541C70" w14:textId="77777777" w:rsidR="00A80C7E" w:rsidRDefault="00000000">
      <w:r>
        <w:pict w14:anchorId="73541C9F">
          <v:rect id="_x0000_i1034" style="width:0;height:1.5pt" o:hralign="center" o:hrstd="t" o:hr="t"/>
        </w:pict>
      </w:r>
    </w:p>
    <w:p w14:paraId="73541C71" w14:textId="77777777" w:rsidR="00A80C7E" w:rsidRDefault="00000000">
      <w:pPr>
        <w:pStyle w:val="Ttulo1"/>
      </w:pPr>
      <w:bookmarkStart w:id="106" w:name="qué-hacer-cuando-algo-falla"/>
      <w:bookmarkStart w:id="107" w:name="_Toc236735112"/>
      <w:r>
        <w:t>11. Qué hacer cuando algo falla</w:t>
      </w:r>
      <w:bookmarkEnd w:id="106"/>
      <w:bookmarkEnd w:id="107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325"/>
        <w:gridCol w:w="2986"/>
        <w:gridCol w:w="3743"/>
      </w:tblGrid>
      <w:tr w:rsidR="00A80C7E" w14:paraId="73541C7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3541C72" w14:textId="77777777" w:rsidR="00A80C7E" w:rsidRDefault="00000000">
            <w:pPr>
              <w:pStyle w:val="Compact"/>
            </w:pPr>
            <w:r>
              <w:t>Síntoma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3541C73" w14:textId="77777777" w:rsidR="00A80C7E" w:rsidRDefault="00000000">
            <w:pPr>
              <w:pStyle w:val="Compact"/>
            </w:pPr>
            <w:r>
              <w:t>Causa probable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3541C74" w14:textId="77777777" w:rsidR="00A80C7E" w:rsidRDefault="00000000">
            <w:pPr>
              <w:pStyle w:val="Compact"/>
            </w:pPr>
            <w:r>
              <w:t>Qué revisar</w:t>
            </w:r>
          </w:p>
        </w:tc>
      </w:tr>
      <w:tr w:rsidR="00A80C7E" w14:paraId="73541C79" w14:textId="77777777">
        <w:tc>
          <w:tcPr>
            <w:tcW w:w="0" w:type="auto"/>
          </w:tcPr>
          <w:p w14:paraId="73541C76" w14:textId="77777777" w:rsidR="00A80C7E" w:rsidRDefault="00000000">
            <w:pPr>
              <w:pStyle w:val="Compact"/>
            </w:pPr>
            <w:r>
              <w:t>No encuentra un archivo BDX</w:t>
            </w:r>
          </w:p>
        </w:tc>
        <w:tc>
          <w:tcPr>
            <w:tcW w:w="0" w:type="auto"/>
          </w:tcPr>
          <w:p w14:paraId="73541C77" w14:textId="77777777" w:rsidR="00A80C7E" w:rsidRDefault="00000000">
            <w:pPr>
              <w:pStyle w:val="Compact"/>
            </w:pPr>
            <w:r>
              <w:t>La cedente cambió el nombre del archivo</w:t>
            </w:r>
          </w:p>
        </w:tc>
        <w:tc>
          <w:tcPr>
            <w:tcW w:w="0" w:type="auto"/>
          </w:tcPr>
          <w:p w14:paraId="73541C78" w14:textId="77777777" w:rsidR="00A80C7E" w:rsidRDefault="00000000">
            <w:pPr>
              <w:pStyle w:val="Compact"/>
            </w:pPr>
            <w:r>
              <w:t>Sección 3 del programa 1, ajustar la ruta correspondiente.</w:t>
            </w:r>
          </w:p>
        </w:tc>
      </w:tr>
      <w:tr w:rsidR="00A80C7E" w14:paraId="73541C7D" w14:textId="77777777">
        <w:tc>
          <w:tcPr>
            <w:tcW w:w="0" w:type="auto"/>
          </w:tcPr>
          <w:p w14:paraId="73541C7A" w14:textId="77777777" w:rsidR="00A80C7E" w:rsidRDefault="00000000">
            <w:pPr>
              <w:pStyle w:val="Compact"/>
            </w:pPr>
            <w:r>
              <w:t>Se detiene por fila de totales</w:t>
            </w:r>
          </w:p>
        </w:tc>
        <w:tc>
          <w:tcPr>
            <w:tcW w:w="0" w:type="auto"/>
          </w:tcPr>
          <w:p w14:paraId="73541C7B" w14:textId="77777777" w:rsidR="00A80C7E" w:rsidRDefault="00000000">
            <w:pPr>
              <w:pStyle w:val="Compact"/>
            </w:pPr>
            <w:r>
              <w:t>Una hoja del BDX trae totales que no fueron cortados por “FIN”</w:t>
            </w:r>
          </w:p>
        </w:tc>
        <w:tc>
          <w:tcPr>
            <w:tcW w:w="0" w:type="auto"/>
          </w:tcPr>
          <w:p w14:paraId="73541C7C" w14:textId="77777777" w:rsidR="00A80C7E" w:rsidRDefault="00000000">
            <w:pPr>
              <w:pStyle w:val="Compact"/>
            </w:pPr>
            <w:r>
              <w:t>Agregar “FIN” en el BDX debajo del último siniestro real.</w:t>
            </w:r>
          </w:p>
        </w:tc>
      </w:tr>
      <w:tr w:rsidR="00A80C7E" w14:paraId="73541C81" w14:textId="77777777">
        <w:tc>
          <w:tcPr>
            <w:tcW w:w="0" w:type="auto"/>
          </w:tcPr>
          <w:p w14:paraId="73541C7E" w14:textId="77777777" w:rsidR="00A80C7E" w:rsidRDefault="00000000">
            <w:pPr>
              <w:pStyle w:val="Compact"/>
            </w:pPr>
            <w:r>
              <w:t>Aparecen coberturas huérfanas</w:t>
            </w:r>
          </w:p>
        </w:tc>
        <w:tc>
          <w:tcPr>
            <w:tcW w:w="0" w:type="auto"/>
          </w:tcPr>
          <w:p w14:paraId="73541C7F" w14:textId="77777777" w:rsidR="00A80C7E" w:rsidRDefault="00000000">
            <w:pPr>
              <w:pStyle w:val="Compact"/>
            </w:pPr>
            <w:r>
              <w:t>El BDX trae una cobertura nueva o mal escrita</w:t>
            </w:r>
          </w:p>
        </w:tc>
        <w:tc>
          <w:tcPr>
            <w:tcW w:w="0" w:type="auto"/>
          </w:tcPr>
          <w:p w14:paraId="73541C80" w14:textId="77777777" w:rsidR="00A80C7E" w:rsidRDefault="00000000">
            <w:pPr>
              <w:pStyle w:val="Compact"/>
            </w:pPr>
            <w:r>
              <w:t xml:space="preserve">Agregar la variante a </w:t>
            </w:r>
            <w:r>
              <w:rPr>
                <w:rStyle w:val="VerbatimChar"/>
              </w:rPr>
              <w:t>COVER_MAP</w:t>
            </w:r>
            <w:r>
              <w:t xml:space="preserve"> en </w:t>
            </w:r>
            <w:r>
              <w:rPr>
                <w:rStyle w:val="VerbatimChar"/>
              </w:rPr>
              <w:t>config_marine.py</w:t>
            </w:r>
            <w:r>
              <w:t>.</w:t>
            </w:r>
          </w:p>
        </w:tc>
      </w:tr>
      <w:tr w:rsidR="00A80C7E" w14:paraId="73541C85" w14:textId="77777777">
        <w:tc>
          <w:tcPr>
            <w:tcW w:w="0" w:type="auto"/>
          </w:tcPr>
          <w:p w14:paraId="73541C82" w14:textId="77777777" w:rsidR="00A80C7E" w:rsidRDefault="00000000">
            <w:pPr>
              <w:pStyle w:val="Compact"/>
            </w:pPr>
            <w:r>
              <w:t>Se detiene por el guardia legacy</w:t>
            </w:r>
          </w:p>
        </w:tc>
        <w:tc>
          <w:tcPr>
            <w:tcW w:w="0" w:type="auto"/>
          </w:tcPr>
          <w:p w14:paraId="73541C83" w14:textId="77777777" w:rsidR="00A80C7E" w:rsidRDefault="00000000">
            <w:pPr>
              <w:pStyle w:val="Compact"/>
            </w:pPr>
            <w:r>
              <w:t>Algún cambio de código tocó una póliza legacy</w:t>
            </w:r>
          </w:p>
        </w:tc>
        <w:tc>
          <w:tcPr>
            <w:tcW w:w="0" w:type="auto"/>
          </w:tcPr>
          <w:p w14:paraId="73541C84" w14:textId="77777777" w:rsidR="00A80C7E" w:rsidRDefault="00000000">
            <w:pPr>
              <w:pStyle w:val="Compact"/>
            </w:pPr>
            <w:r>
              <w:t>Revisar las modificaciones recientes en las secciones 7 y 8 del programa 2.</w:t>
            </w:r>
          </w:p>
        </w:tc>
      </w:tr>
      <w:tr w:rsidR="00A80C7E" w14:paraId="73541C89" w14:textId="77777777">
        <w:tc>
          <w:tcPr>
            <w:tcW w:w="0" w:type="auto"/>
          </w:tcPr>
          <w:p w14:paraId="73541C86" w14:textId="77777777" w:rsidR="00A80C7E" w:rsidRDefault="00000000">
            <w:pPr>
              <w:pStyle w:val="Compact"/>
            </w:pPr>
            <w:r>
              <w:t>Menos de 3,500 registros cargados</w:t>
            </w:r>
          </w:p>
        </w:tc>
        <w:tc>
          <w:tcPr>
            <w:tcW w:w="0" w:type="auto"/>
          </w:tcPr>
          <w:p w14:paraId="73541C87" w14:textId="77777777" w:rsidR="00A80C7E" w:rsidRDefault="00000000">
            <w:pPr>
              <w:pStyle w:val="Compact"/>
            </w:pPr>
            <w:r>
              <w:t>Se apuntó al archivo equivocado del mes anterior</w:t>
            </w:r>
          </w:p>
        </w:tc>
        <w:tc>
          <w:tcPr>
            <w:tcW w:w="0" w:type="auto"/>
          </w:tcPr>
          <w:p w14:paraId="73541C88" w14:textId="77777777" w:rsidR="00A80C7E" w:rsidRDefault="00000000">
            <w:pPr>
              <w:pStyle w:val="Compact"/>
            </w:pPr>
            <w:r>
              <w:t xml:space="preserve">Verificar </w:t>
            </w:r>
            <w:r>
              <w:rPr>
                <w:rStyle w:val="VerbatimChar"/>
              </w:rPr>
              <w:t>AñoMes_ant</w:t>
            </w:r>
            <w:r>
              <w:t xml:space="preserve"> y la ruta del procesado anterior.</w:t>
            </w:r>
          </w:p>
        </w:tc>
      </w:tr>
      <w:tr w:rsidR="00A80C7E" w14:paraId="73541C8D" w14:textId="77777777">
        <w:tc>
          <w:tcPr>
            <w:tcW w:w="0" w:type="auto"/>
          </w:tcPr>
          <w:p w14:paraId="73541C8A" w14:textId="77777777" w:rsidR="00A80C7E" w:rsidRDefault="00000000">
            <w:pPr>
              <w:pStyle w:val="Compact"/>
            </w:pPr>
            <w:r>
              <w:t>Se detiene por STATUS faltante</w:t>
            </w:r>
          </w:p>
        </w:tc>
        <w:tc>
          <w:tcPr>
            <w:tcW w:w="0" w:type="auto"/>
          </w:tcPr>
          <w:p w14:paraId="73541C8B" w14:textId="77777777" w:rsidR="00A80C7E" w:rsidRDefault="00000000">
            <w:pPr>
              <w:pStyle w:val="Compact"/>
            </w:pPr>
            <w:r>
              <w:t>El BDX no trae estado y no se encontró en históricos</w:t>
            </w:r>
          </w:p>
        </w:tc>
        <w:tc>
          <w:tcPr>
            <w:tcW w:w="0" w:type="auto"/>
          </w:tcPr>
          <w:p w14:paraId="73541C8C" w14:textId="77777777" w:rsidR="00A80C7E" w:rsidRDefault="00000000">
            <w:pPr>
              <w:pStyle w:val="Compact"/>
            </w:pPr>
            <w:r>
              <w:t>Completar el estado en el BDX y volver a correr el programa 4.</w:t>
            </w:r>
          </w:p>
        </w:tc>
      </w:tr>
      <w:tr w:rsidR="00A80C7E" w14:paraId="73541C91" w14:textId="77777777">
        <w:tc>
          <w:tcPr>
            <w:tcW w:w="0" w:type="auto"/>
          </w:tcPr>
          <w:p w14:paraId="73541C8E" w14:textId="77777777" w:rsidR="00A80C7E" w:rsidRDefault="00000000">
            <w:pPr>
              <w:pStyle w:val="Compact"/>
            </w:pPr>
            <w:r>
              <w:t>Diferencias grandes en la validación contable</w:t>
            </w:r>
          </w:p>
        </w:tc>
        <w:tc>
          <w:tcPr>
            <w:tcW w:w="0" w:type="auto"/>
          </w:tcPr>
          <w:p w14:paraId="73541C8F" w14:textId="77777777" w:rsidR="00A80C7E" w:rsidRDefault="00000000">
            <w:pPr>
              <w:pStyle w:val="Compact"/>
            </w:pPr>
            <w:r>
              <w:t>Pólizas con nombre distinto entre fuentes</w:t>
            </w:r>
          </w:p>
        </w:tc>
        <w:tc>
          <w:tcPr>
            <w:tcW w:w="0" w:type="auto"/>
          </w:tcPr>
          <w:p w14:paraId="73541C90" w14:textId="77777777" w:rsidR="00A80C7E" w:rsidRDefault="00000000">
            <w:pPr>
              <w:pStyle w:val="Compact"/>
            </w:pPr>
            <w:r>
              <w:t>Revisar el bloque de normalización de pólizas (sección 4 del programa 3).</w:t>
            </w:r>
          </w:p>
        </w:tc>
      </w:tr>
      <w:tr w:rsidR="00A80C7E" w14:paraId="73541C95" w14:textId="77777777">
        <w:tc>
          <w:tcPr>
            <w:tcW w:w="0" w:type="auto"/>
          </w:tcPr>
          <w:p w14:paraId="73541C92" w14:textId="77777777" w:rsidR="00A80C7E" w:rsidRDefault="00000000">
            <w:pPr>
              <w:pStyle w:val="Compact"/>
            </w:pPr>
            <w:r>
              <w:t>Error al insertar en SQL</w:t>
            </w:r>
          </w:p>
        </w:tc>
        <w:tc>
          <w:tcPr>
            <w:tcW w:w="0" w:type="auto"/>
          </w:tcPr>
          <w:p w14:paraId="73541C93" w14:textId="77777777" w:rsidR="00A80C7E" w:rsidRDefault="00000000">
            <w:pPr>
              <w:pStyle w:val="Compact"/>
            </w:pPr>
            <w:r>
              <w:t>Columna con caracteres especiales o texto más largo que la columna</w:t>
            </w:r>
          </w:p>
        </w:tc>
        <w:tc>
          <w:tcPr>
            <w:tcW w:w="0" w:type="auto"/>
          </w:tcPr>
          <w:p w14:paraId="73541C94" w14:textId="77777777" w:rsidR="00A80C7E" w:rsidRDefault="00000000">
            <w:pPr>
              <w:pStyle w:val="Compact"/>
            </w:pPr>
            <w:r>
              <w:t>Revisar el log de truncados del programa 5.</w:t>
            </w:r>
          </w:p>
        </w:tc>
      </w:tr>
    </w:tbl>
    <w:p w14:paraId="73541C96" w14:textId="77777777" w:rsidR="00722BB2" w:rsidRDefault="00722BB2"/>
    <w:sectPr w:rsidR="00722BB2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31E25C" w14:textId="77777777" w:rsidR="00722BB2" w:rsidRDefault="00722BB2">
      <w:pPr>
        <w:spacing w:after="0"/>
      </w:pPr>
      <w:r>
        <w:separator/>
      </w:r>
    </w:p>
  </w:endnote>
  <w:endnote w:type="continuationSeparator" w:id="0">
    <w:p w14:paraId="73E58C70" w14:textId="77777777" w:rsidR="00722BB2" w:rsidRDefault="00722B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57C3FC" w14:textId="77777777" w:rsidR="00722BB2" w:rsidRDefault="00722BB2">
      <w:r>
        <w:separator/>
      </w:r>
    </w:p>
  </w:footnote>
  <w:footnote w:type="continuationSeparator" w:id="0">
    <w:p w14:paraId="17BAD908" w14:textId="77777777" w:rsidR="00722BB2" w:rsidRDefault="00722B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A454B4C"/>
    <w:multiLevelType w:val="multilevel"/>
    <w:tmpl w:val="70CE0904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F91C5D3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C80C327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1219630777">
    <w:abstractNumId w:val="1"/>
  </w:num>
  <w:num w:numId="2" w16cid:durableId="8300271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45556649">
    <w:abstractNumId w:val="2"/>
  </w:num>
  <w:num w:numId="4" w16cid:durableId="87697040">
    <w:abstractNumId w:val="2"/>
  </w:num>
  <w:num w:numId="5" w16cid:durableId="1154376749">
    <w:abstractNumId w:val="2"/>
  </w:num>
  <w:num w:numId="6" w16cid:durableId="1239753144">
    <w:abstractNumId w:val="2"/>
  </w:num>
  <w:num w:numId="7" w16cid:durableId="2047410264">
    <w:abstractNumId w:val="2"/>
  </w:num>
  <w:num w:numId="8" w16cid:durableId="3750047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779703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06130266">
    <w:abstractNumId w:val="2"/>
  </w:num>
  <w:num w:numId="11" w16cid:durableId="776680055">
    <w:abstractNumId w:val="2"/>
  </w:num>
  <w:num w:numId="12" w16cid:durableId="458301234">
    <w:abstractNumId w:val="2"/>
  </w:num>
  <w:num w:numId="13" w16cid:durableId="214508494">
    <w:abstractNumId w:val="2"/>
  </w:num>
  <w:num w:numId="14" w16cid:durableId="1450006243">
    <w:abstractNumId w:val="2"/>
  </w:num>
  <w:num w:numId="15" w16cid:durableId="3809094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45004924">
    <w:abstractNumId w:val="2"/>
  </w:num>
  <w:num w:numId="17" w16cid:durableId="18242770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54616861">
    <w:abstractNumId w:val="2"/>
  </w:num>
  <w:num w:numId="19" w16cid:durableId="2500423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090641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30495589">
    <w:abstractNumId w:val="2"/>
  </w:num>
  <w:num w:numId="22" w16cid:durableId="11969654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85070487">
    <w:abstractNumId w:val="2"/>
  </w:num>
  <w:num w:numId="24" w16cid:durableId="1946959504">
    <w:abstractNumId w:val="2"/>
  </w:num>
  <w:num w:numId="25" w16cid:durableId="1525829658">
    <w:abstractNumId w:val="2"/>
  </w:num>
  <w:num w:numId="26" w16cid:durableId="1868835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722BB2"/>
    <w:rsid w:val="00784D58"/>
    <w:rsid w:val="007A6A91"/>
    <w:rsid w:val="008D6863"/>
    <w:rsid w:val="00A80C7E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41AA9"/>
  <w15:docId w15:val="{470F5731-285C-425A-A83F-05488D339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7A6A91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7A6A9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5840</Words>
  <Characters>32121</Characters>
  <Application>Microsoft Office Word</Application>
  <DocSecurity>0</DocSecurity>
  <Lines>267</Lines>
  <Paragraphs>75</Paragraphs>
  <ScaleCrop>false</ScaleCrop>
  <Company/>
  <LinksUpToDate>false</LinksUpToDate>
  <CharactersWithSpaces>37886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del Proceso Marine</dc:title>
  <dc:creator>Área Actuarial · Kot Insurance Company AG</dc:creator>
  <cp:keywords/>
  <cp:lastModifiedBy>Bárbara Gómez</cp:lastModifiedBy>
  <cp:revision>2</cp:revision>
  <dcterms:created xsi:type="dcterms:W3CDTF">2026-08-04T17:19:00Z</dcterms:created>
  <dcterms:modified xsi:type="dcterms:W3CDTF">2026-08-04T17:31:00Z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Transporte, Carga y Embarcaciones — Cierre mensual de siniestros</vt:lpwstr>
  </property>
  <property fmtid="{D5CDD505-2E9C-101B-9397-08002B2CF9AE}" pid="3" name="toc-title">
    <vt:lpwstr>Contenido</vt:lpwstr>
  </property>
</Properties>
</file>