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UNIVERSITATEA DIN ORADEA</w:t>
      </w: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FACULTATEA DE PROTECŢIA MEDIULUI</w:t>
      </w: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DOMENIUL: </w:t>
      </w:r>
      <w:r>
        <w:rPr>
          <w:b/>
          <w:sz w:val="28"/>
          <w:szCs w:val="28"/>
        </w:rPr>
        <w:t>AGRICULTURĂ ȘI HORTICULTURĂ</w:t>
      </w: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PROGRAMUL DE STUDIU: </w:t>
      </w:r>
      <w:r>
        <w:rPr>
          <w:b/>
          <w:sz w:val="28"/>
          <w:szCs w:val="28"/>
        </w:rPr>
        <w:t>AGRICULTURĂ</w:t>
      </w: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ANUL DE STUDIU:</w:t>
      </w:r>
      <w:r>
        <w:rPr>
          <w:b/>
          <w:sz w:val="28"/>
          <w:szCs w:val="28"/>
        </w:rPr>
        <w:t xml:space="preserve"> ANUL I</w:t>
      </w:r>
      <w:r>
        <w:rPr>
          <w:b/>
          <w:sz w:val="28"/>
          <w:szCs w:val="28"/>
        </w:rPr>
        <w:t xml:space="preserve"> </w:t>
      </w: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 DE ÎNVĂŢĂMÂNT: CU FRECVENŢĂ</w:t>
      </w: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LUCRARE DE EXAMEN LA DISCIPLINA</w:t>
      </w:r>
    </w:p>
    <w:p w:rsidR="007B024C" w:rsidRDefault="007B024C" w:rsidP="007B024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MICROBIOLOGIE</w:t>
      </w:r>
    </w:p>
    <w:p w:rsidR="007B024C" w:rsidRDefault="007B024C" w:rsidP="007B024C">
      <w:pPr>
        <w:ind w:firstLine="0"/>
        <w:jc w:val="center"/>
        <w:rPr>
          <w:sz w:val="28"/>
          <w:szCs w:val="28"/>
        </w:rPr>
      </w:pP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TEMA LUCRĂRII DE EXAMEN</w:t>
      </w:r>
    </w:p>
    <w:p w:rsidR="007B024C" w:rsidRDefault="007B024C" w:rsidP="007B024C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ÎNCINGEREA CEREALELOR</w:t>
      </w:r>
    </w:p>
    <w:p w:rsidR="007B024C" w:rsidRDefault="007B024C" w:rsidP="007B024C">
      <w:pPr>
        <w:ind w:firstLine="0"/>
        <w:jc w:val="center"/>
        <w:rPr>
          <w:sz w:val="28"/>
          <w:szCs w:val="28"/>
        </w:rPr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jc w:val="center"/>
      </w:pPr>
    </w:p>
    <w:p w:rsidR="007B024C" w:rsidRDefault="007B024C" w:rsidP="007B024C">
      <w:pPr>
        <w:ind w:firstLine="0"/>
        <w:rPr>
          <w:b/>
          <w:sz w:val="28"/>
          <w:szCs w:val="28"/>
        </w:rPr>
      </w:pPr>
      <w:bookmarkStart w:id="0" w:name="OLE_LINK2"/>
      <w:bookmarkStart w:id="1" w:name="OLE_LINK1"/>
      <w:r>
        <w:rPr>
          <w:b/>
          <w:sz w:val="28"/>
          <w:szCs w:val="28"/>
        </w:rPr>
        <w:t>Cadru Didactic Examinator</w:t>
      </w:r>
    </w:p>
    <w:p w:rsidR="007B024C" w:rsidRDefault="007B024C" w:rsidP="007B024C">
      <w:pPr>
        <w:ind w:firstLine="0"/>
        <w:rPr>
          <w:sz w:val="28"/>
          <w:szCs w:val="28"/>
        </w:rPr>
      </w:pPr>
      <w:r>
        <w:rPr>
          <w:sz w:val="28"/>
          <w:szCs w:val="28"/>
        </w:rPr>
        <w:t>BARA CAMELIA</w:t>
      </w:r>
    </w:p>
    <w:p w:rsidR="007B024C" w:rsidRDefault="007B024C" w:rsidP="007B024C">
      <w:pPr>
        <w:ind w:left="5040" w:firstLine="0"/>
        <w:jc w:val="center"/>
        <w:rPr>
          <w:sz w:val="28"/>
          <w:szCs w:val="28"/>
        </w:rPr>
      </w:pPr>
    </w:p>
    <w:p w:rsidR="007B024C" w:rsidRDefault="007B024C" w:rsidP="007B024C">
      <w:pPr>
        <w:ind w:left="5040" w:firstLine="0"/>
        <w:jc w:val="center"/>
        <w:rPr>
          <w:sz w:val="28"/>
          <w:szCs w:val="28"/>
        </w:rPr>
      </w:pPr>
    </w:p>
    <w:p w:rsidR="007B024C" w:rsidRDefault="007B024C" w:rsidP="007B024C">
      <w:pPr>
        <w:ind w:left="5040" w:firstLine="0"/>
        <w:jc w:val="center"/>
        <w:rPr>
          <w:sz w:val="28"/>
          <w:szCs w:val="28"/>
        </w:rPr>
      </w:pPr>
    </w:p>
    <w:p w:rsidR="007B024C" w:rsidRDefault="007B024C" w:rsidP="007B024C">
      <w:pPr>
        <w:ind w:firstLine="0"/>
        <w:rPr>
          <w:sz w:val="28"/>
          <w:szCs w:val="28"/>
        </w:rPr>
      </w:pPr>
    </w:p>
    <w:p w:rsidR="007B024C" w:rsidRDefault="007B024C" w:rsidP="007B024C">
      <w:pPr>
        <w:ind w:left="5040" w:firstLine="0"/>
        <w:jc w:val="center"/>
        <w:rPr>
          <w:sz w:val="28"/>
          <w:szCs w:val="28"/>
        </w:rPr>
      </w:pPr>
    </w:p>
    <w:p w:rsidR="007B024C" w:rsidRDefault="007B024C" w:rsidP="007B024C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Student</w:t>
      </w:r>
    </w:p>
    <w:p w:rsidR="007B024C" w:rsidRDefault="007B024C" w:rsidP="007B024C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BĂRCAN FLORIN-GEORGE</w:t>
      </w:r>
    </w:p>
    <w:p w:rsidR="007B024C" w:rsidRDefault="007B024C" w:rsidP="007B024C">
      <w:pPr>
        <w:ind w:firstLine="0"/>
        <w:jc w:val="center"/>
        <w:rPr>
          <w:sz w:val="28"/>
          <w:szCs w:val="28"/>
        </w:rPr>
      </w:pPr>
    </w:p>
    <w:p w:rsidR="007B024C" w:rsidRDefault="007B024C" w:rsidP="007B024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ORADEA</w:t>
      </w:r>
    </w:p>
    <w:bookmarkEnd w:id="0"/>
    <w:bookmarkEnd w:id="1"/>
    <w:p w:rsidR="007B024C" w:rsidRDefault="007B024C" w:rsidP="007B024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EB63CE" w:rsidRDefault="003C52DE" w:rsidP="002350BA">
      <w:pPr>
        <w:spacing w:line="360" w:lineRule="auto"/>
      </w:pPr>
    </w:p>
    <w:p w:rsidR="007B024C" w:rsidRDefault="007B024C" w:rsidP="002350BA">
      <w:pPr>
        <w:spacing w:line="360" w:lineRule="auto"/>
      </w:pPr>
    </w:p>
    <w:p w:rsidR="007B024C" w:rsidRDefault="007B024C" w:rsidP="002350BA">
      <w:pPr>
        <w:spacing w:line="360" w:lineRule="auto"/>
      </w:pPr>
    </w:p>
    <w:p w:rsidR="007B024C" w:rsidRDefault="007B024C" w:rsidP="002350BA">
      <w:pPr>
        <w:spacing w:line="360" w:lineRule="auto"/>
      </w:pPr>
    </w:p>
    <w:p w:rsidR="007B024C" w:rsidRDefault="007A7568" w:rsidP="00A31E1A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Respiraț</w:t>
      </w:r>
      <w:r w:rsidR="00A31E1A">
        <w:rPr>
          <w:b/>
          <w:sz w:val="28"/>
        </w:rPr>
        <w:t>ia cerealelor</w:t>
      </w:r>
    </w:p>
    <w:p w:rsidR="00A31E1A" w:rsidRPr="00A31E1A" w:rsidRDefault="007A7568" w:rsidP="00A31E1A">
      <w:pPr>
        <w:spacing w:line="360" w:lineRule="auto"/>
        <w:ind w:firstLine="0"/>
      </w:pPr>
      <w:r>
        <w:t>Ideal, masa de sămânță</w:t>
      </w:r>
      <w:r w:rsidR="00A31E1A">
        <w:t xml:space="preserve"> </w:t>
      </w:r>
      <w:r>
        <w:t>recoltată</w:t>
      </w:r>
      <w:r w:rsidR="00A31E1A">
        <w:t xml:space="preserve"> se depoziteaz</w:t>
      </w:r>
      <w:r>
        <w:t>ă astfel încât să nu intervină</w:t>
      </w:r>
      <w:r w:rsidR="00A31E1A">
        <w:t xml:space="preserve"> </w:t>
      </w:r>
      <w:r>
        <w:t>î</w:t>
      </w:r>
      <w:r w:rsidR="00A31E1A">
        <w:t>ncingerea acestora.</w:t>
      </w:r>
    </w:p>
    <w:p w:rsidR="008C4D39" w:rsidRDefault="007A7568" w:rsidP="00A31E1A">
      <w:pPr>
        <w:spacing w:line="360" w:lineRule="auto"/>
        <w:ind w:firstLine="0"/>
      </w:pPr>
      <w:r>
        <w:t>Prin respirație cerealele îș</w:t>
      </w:r>
      <w:r w:rsidR="00A31E1A">
        <w:t>i pierd din greutate</w:t>
      </w:r>
      <w:r>
        <w:t>, reducând î</w:t>
      </w:r>
      <w:r w:rsidR="00A31E1A">
        <w:t>n masa acestora oxig</w:t>
      </w:r>
      <w:r>
        <w:t>enul î</w:t>
      </w:r>
      <w:r w:rsidR="00A31E1A">
        <w:t>n favoarea dioxidului de carbon care facili</w:t>
      </w:r>
      <w:r>
        <w:t>teaza creș</w:t>
      </w:r>
      <w:r w:rsidR="00A31E1A">
        <w:t xml:space="preserve">terea </w:t>
      </w:r>
      <w:r w:rsidR="008C4D39">
        <w:t>de</w:t>
      </w:r>
      <w:r w:rsidR="00A31E1A">
        <w:t xml:space="preserve"> te</w:t>
      </w:r>
      <w:r>
        <w:t>mperatură</w:t>
      </w:r>
      <w:r w:rsidR="008C4D39">
        <w:t xml:space="preserve"> </w:t>
      </w:r>
      <w:r>
        <w:t>î</w:t>
      </w:r>
      <w:r w:rsidR="008C4D39">
        <w:t>n masa</w:t>
      </w:r>
      <w:r>
        <w:t xml:space="preserve"> de să</w:t>
      </w:r>
      <w:r w:rsidR="008C4D39">
        <w:t>m</w:t>
      </w:r>
      <w:r>
        <w:t>ânță</w:t>
      </w:r>
      <w:r w:rsidR="008C4D39">
        <w:t>.</w:t>
      </w:r>
    </w:p>
    <w:p w:rsidR="008C4D39" w:rsidRDefault="007A7568" w:rsidP="008C4D3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Î</w:t>
      </w:r>
      <w:r w:rsidR="008C4D39">
        <w:rPr>
          <w:b/>
          <w:sz w:val="28"/>
        </w:rPr>
        <w:t>ncingerea cerealelor</w:t>
      </w:r>
    </w:p>
    <w:p w:rsidR="003D02DA" w:rsidRDefault="007A7568" w:rsidP="003D02DA">
      <w:pPr>
        <w:spacing w:line="360" w:lineRule="auto"/>
        <w:ind w:firstLine="0"/>
      </w:pPr>
      <w:r>
        <w:t>Î</w:t>
      </w:r>
      <w:r w:rsidR="008C4D39">
        <w:t>ncingerea cerealelor se produce la temperaturi ridicate. Semin</w:t>
      </w:r>
      <w:r>
        <w:t>țele rețin î</w:t>
      </w:r>
      <w:r w:rsidR="008C4D39">
        <w:t>n interior mare parte din temperatu</w:t>
      </w:r>
      <w:r>
        <w:t>ră prin procesul de respiraț</w:t>
      </w:r>
      <w:r w:rsidR="00AC5442">
        <w:t xml:space="preserve">ie. </w:t>
      </w:r>
      <w:r>
        <w:t>Temperatura și umiditatea favorizează</w:t>
      </w:r>
      <w:r w:rsidR="008C4D39">
        <w:t xml:space="preserve"> dezvoltarea microorganismelor  care devin factorul principal</w:t>
      </w:r>
      <w:r>
        <w:t xml:space="preserve"> al î</w:t>
      </w:r>
      <w:r w:rsidR="008C4D39">
        <w:t xml:space="preserve">ncingerii cerealelor. </w:t>
      </w:r>
      <w:r>
        <w:t>Cu cât mediul este mai umed, cu atât temperatura trebuie să fie mai scăzută</w:t>
      </w:r>
      <w:r w:rsidR="00AC5442">
        <w:t xml:space="preserve"> pentru a feri dezvoltarea acestora. </w:t>
      </w:r>
      <w:r>
        <w:t>Apariț</w:t>
      </w:r>
      <w:r w:rsidR="008C4D39">
        <w:t>ia microorganismel</w:t>
      </w:r>
      <w:r>
        <w:t>or termofile determină putrezirea seminț</w:t>
      </w:r>
      <w:r w:rsidR="008C4D39">
        <w:t xml:space="preserve">elor </w:t>
      </w:r>
      <w:r>
        <w:t>încălzite și mucegă</w:t>
      </w:r>
      <w:r w:rsidR="008C4D39">
        <w:t>ite.</w:t>
      </w:r>
      <w:r w:rsidR="006472DB" w:rsidRPr="006472DB">
        <w:rPr>
          <w:noProof/>
          <w:lang w:val="en-US" w:bidi="ar-SA"/>
        </w:rPr>
        <w:t xml:space="preserve"> </w:t>
      </w:r>
    </w:p>
    <w:p w:rsidR="003D02DA" w:rsidRDefault="003D02DA" w:rsidP="003D02DA">
      <w:pPr>
        <w:pStyle w:val="ListParagraph"/>
        <w:numPr>
          <w:ilvl w:val="1"/>
          <w:numId w:val="1"/>
        </w:numPr>
        <w:spacing w:line="360" w:lineRule="auto"/>
        <w:jc w:val="left"/>
      </w:pPr>
      <w:r>
        <w:t>Încingerea la grâu</w:t>
      </w:r>
    </w:p>
    <w:p w:rsidR="003D02DA" w:rsidRDefault="003D02DA" w:rsidP="003D02DA">
      <w:pPr>
        <w:spacing w:line="360" w:lineRule="auto"/>
        <w:ind w:firstLine="0"/>
      </w:pPr>
      <w:r>
        <w:t xml:space="preserve">Umiditatea critică la grâu este de 14.5%, astfel temperatura </w:t>
      </w:r>
      <w:r w:rsidR="00297506">
        <w:t>ideală din interiorul masei de sămânță</w:t>
      </w:r>
      <w:r>
        <w:t xml:space="preserve"> este de 11.6 ºC.</w:t>
      </w:r>
    </w:p>
    <w:p w:rsidR="00506792" w:rsidRPr="0090693A" w:rsidRDefault="00297506" w:rsidP="0090693A">
      <w:pPr>
        <w:spacing w:line="360" w:lineRule="auto"/>
        <w:ind w:firstLine="0"/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 wp14:anchorId="6EE1B924" wp14:editId="64888C44">
            <wp:simplePos x="0" y="0"/>
            <wp:positionH relativeFrom="margin">
              <wp:posOffset>699770</wp:posOffset>
            </wp:positionH>
            <wp:positionV relativeFrom="paragraph">
              <wp:posOffset>585470</wp:posOffset>
            </wp:positionV>
            <wp:extent cx="4572000" cy="28956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 w:rsidR="003D02DA">
        <w:t xml:space="preserve">Dacă căldura din interiorul grâului trece de 38 </w:t>
      </w:r>
      <w:r w:rsidR="003D02DA">
        <w:t>ºC</w:t>
      </w:r>
      <w:r w:rsidR="003D02DA">
        <w:t xml:space="preserve">, </w:t>
      </w:r>
      <w:r>
        <w:t>sesizăm brunificarea semințelor și fermentarea acestora, iar cele sparte apar mucegaiuri.</w:t>
      </w:r>
    </w:p>
    <w:p w:rsidR="007A7568" w:rsidRPr="00297506" w:rsidRDefault="0090693A" w:rsidP="00297506">
      <w:pPr>
        <w:spacing w:after="160" w:line="259" w:lineRule="auto"/>
        <w:contextualSpacing w:val="0"/>
        <w:jc w:val="left"/>
        <w:rPr>
          <w:sz w:val="28"/>
        </w:rPr>
      </w:pPr>
      <w:r w:rsidRPr="0090693A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2964180</wp:posOffset>
                </wp:positionV>
                <wp:extent cx="2360930" cy="1404620"/>
                <wp:effectExtent l="0" t="0" r="1143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93A" w:rsidRPr="003C52DE" w:rsidRDefault="003C5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Tabelul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3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4/TGzcAAAACAEAAA8AAABkcnMvZG93bnJl&#10;di54bWxMj8FOwzAMhu9IvENkJC5oSwuorUrTCSGNG0JsiLPXeE21JqmSrCtvjznBzdZv/f6+ZrPY&#10;UcwU4uCdgnydgSDXeT24XsHnfruqQMSETuPoHSn4pgib9vqqwVr7i/ugeZd6wSUu1qjApDTVUsbO&#10;kMW49hM5zo4+WEy8hl7qgBcut6O8z7JCWhwcfzA40Yuh7rQ7WwV0mnP029c3c/c+BD2a0vZfpVK3&#10;N8vzE4hES/o7hl98RoeWmQ7+7HQUowIWSQoei4IFOH4ocx4OCoqqykC2jfwv0P4A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7j9MbNwAAAAIAQAADwAAAAAAAAAAAAAAAACFBAAAZHJz&#10;L2Rvd25yZXYueG1sUEsFBgAAAAAEAAQA8wAAAI4FAAAAAA==&#10;" strokecolor="white [3212]">
                <v:textbox style="mso-fit-shape-to-text:t">
                  <w:txbxContent>
                    <w:p w:rsidR="0090693A" w:rsidRPr="003C52DE" w:rsidRDefault="003C5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Tabelul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nr</w:t>
                      </w:r>
                      <w:proofErr w:type="spellEnd"/>
                      <w:r>
                        <w:rPr>
                          <w:lang w:val="en-US"/>
                        </w:rPr>
                        <w:t>. 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568" w:rsidRPr="00297506">
        <w:rPr>
          <w:sz w:val="28"/>
        </w:rPr>
        <w:br w:type="page"/>
      </w:r>
      <w:bookmarkStart w:id="2" w:name="_GoBack"/>
      <w:bookmarkEnd w:id="2"/>
    </w:p>
    <w:p w:rsidR="007A7568" w:rsidRDefault="007A7568" w:rsidP="00AC5442">
      <w:pPr>
        <w:spacing w:line="360" w:lineRule="auto"/>
        <w:ind w:firstLine="0"/>
        <w:rPr>
          <w:sz w:val="28"/>
          <w:lang w:val="en-US"/>
        </w:rPr>
      </w:pPr>
      <w:r>
        <w:rPr>
          <w:sz w:val="28"/>
        </w:rPr>
        <w:lastRenderedPageBreak/>
        <w:t>Bibliografie</w:t>
      </w:r>
      <w:r>
        <w:rPr>
          <w:sz w:val="28"/>
          <w:lang w:val="en-US"/>
        </w:rPr>
        <w:t>:</w:t>
      </w:r>
    </w:p>
    <w:p w:rsidR="007A7568" w:rsidRDefault="007A7568" w:rsidP="007A7568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hyperlink r:id="rId6" w:history="1">
        <w:r w:rsidRPr="00223572">
          <w:rPr>
            <w:rStyle w:val="Hyperlink"/>
            <w:sz w:val="28"/>
            <w:lang w:val="en-US"/>
          </w:rPr>
          <w:t>https://www.gazetadeagricultura.info/plante/cereale/432-grau/14537-incoltirea-respiratia-si-incingerea-graului-in-depozite.html</w:t>
        </w:r>
      </w:hyperlink>
    </w:p>
    <w:p w:rsidR="007A7568" w:rsidRDefault="007A7568" w:rsidP="00506792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hyperlink r:id="rId7" w:history="1">
        <w:r w:rsidRPr="00223572">
          <w:rPr>
            <w:rStyle w:val="Hyperlink"/>
            <w:sz w:val="28"/>
            <w:lang w:val="en-US"/>
          </w:rPr>
          <w:t>https://www.agro.basf.ro/ro/stiri/fermier-in-romania/depozitarea-cerealelor-solutii-stocare-prevenirea-deprecierii.html</w:t>
        </w:r>
      </w:hyperlink>
    </w:p>
    <w:p w:rsidR="00506792" w:rsidRDefault="00506792" w:rsidP="00506792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hyperlink r:id="rId8" w:history="1">
        <w:r w:rsidRPr="00223572">
          <w:rPr>
            <w:rStyle w:val="Hyperlink"/>
            <w:sz w:val="28"/>
            <w:lang w:val="en-US"/>
          </w:rPr>
          <w:t>https://www.agrimedia.ro/articole/recoltarea-depozitarea-si-conservarea-porumbului-in-sistem-individual</w:t>
        </w:r>
      </w:hyperlink>
    </w:p>
    <w:p w:rsidR="00506792" w:rsidRPr="00506792" w:rsidRDefault="00506792" w:rsidP="0090693A">
      <w:pPr>
        <w:pStyle w:val="ListParagraph"/>
        <w:spacing w:line="360" w:lineRule="auto"/>
        <w:ind w:firstLine="0"/>
        <w:rPr>
          <w:sz w:val="28"/>
          <w:lang w:val="en-US"/>
        </w:rPr>
      </w:pPr>
    </w:p>
    <w:sectPr w:rsidR="00506792" w:rsidRPr="00506792" w:rsidSect="002350B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6557"/>
    <w:multiLevelType w:val="multilevel"/>
    <w:tmpl w:val="72849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24"/>
      </w:rPr>
    </w:lvl>
  </w:abstractNum>
  <w:abstractNum w:abstractNumId="1" w15:restartNumberingAfterBreak="0">
    <w:nsid w:val="55AB3ED2"/>
    <w:multiLevelType w:val="hybridMultilevel"/>
    <w:tmpl w:val="BACC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BA"/>
    <w:rsid w:val="00031B10"/>
    <w:rsid w:val="002350BA"/>
    <w:rsid w:val="00297506"/>
    <w:rsid w:val="003C52DE"/>
    <w:rsid w:val="003D02DA"/>
    <w:rsid w:val="00506792"/>
    <w:rsid w:val="006472DB"/>
    <w:rsid w:val="007A7568"/>
    <w:rsid w:val="007B024C"/>
    <w:rsid w:val="008C4D39"/>
    <w:rsid w:val="0090693A"/>
    <w:rsid w:val="009C177A"/>
    <w:rsid w:val="00A31E1A"/>
    <w:rsid w:val="00AC5442"/>
    <w:rsid w:val="00BE2EAB"/>
    <w:rsid w:val="00B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8FF4"/>
  <w15:chartTrackingRefBased/>
  <w15:docId w15:val="{791D93EF-E46B-46C4-838F-21D5BAB8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4C"/>
    <w:pPr>
      <w:spacing w:after="0" w:line="240" w:lineRule="auto"/>
      <w:ind w:firstLine="992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o-RO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E1A"/>
    <w:pPr>
      <w:ind w:left="720"/>
    </w:pPr>
  </w:style>
  <w:style w:type="character" w:styleId="Hyperlink">
    <w:name w:val="Hyperlink"/>
    <w:basedOn w:val="DefaultParagraphFont"/>
    <w:uiPriority w:val="99"/>
    <w:unhideWhenUsed/>
    <w:rsid w:val="007A7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rimedia.ro/articole/recoltarea-depozitarea-si-conservarea-porumbului-in-sistem-individ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ro.basf.ro/ro/stiri/fermier-in-romania/depozitarea-cerealelor-solutii-stocare-prevenirea-deprecier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zetadeagricultura.info/plante/cereale/432-grau/14537-incoltirea-respiratia-si-incingerea-graului-in-depozite.html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</a:t>
            </a:r>
            <a:r>
              <a:rPr lang="ro-RO"/>
              <a:t>ă</a:t>
            </a:r>
            <a:r>
              <a:rPr lang="en-US" baseline="0"/>
              <a:t> vs Umiditate la </a:t>
            </a:r>
            <a:r>
              <a:rPr lang="ro-RO" baseline="0"/>
              <a:t>g</a:t>
            </a:r>
            <a:r>
              <a:rPr lang="en-US" baseline="0"/>
              <a:t>r</a:t>
            </a:r>
            <a:r>
              <a:rPr lang="ro-RO" baseline="0"/>
              <a:t>â</a:t>
            </a:r>
            <a:r>
              <a:rPr lang="en-US" baseline="0"/>
              <a:t>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'[Chart in Microsoft Word]Sheet1'!$A$7</c:f>
              <c:strCache>
                <c:ptCount val="1"/>
                <c:pt idx="0">
                  <c:v>Temperatura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'[Chart in Microsoft Word]Sheet1'!$B$5:$D$5</c:f>
              <c:strCache>
                <c:ptCount val="3"/>
                <c:pt idx="0">
                  <c:v>P1</c:v>
                </c:pt>
                <c:pt idx="1">
                  <c:v>P2</c:v>
                </c:pt>
                <c:pt idx="2">
                  <c:v>P3</c:v>
                </c:pt>
              </c:strCache>
            </c:strRef>
          </c:cat>
          <c:val>
            <c:numRef>
              <c:f>'[Chart in Microsoft Word]Sheet1'!$B$7:$D$7</c:f>
              <c:numCache>
                <c:formatCode>General</c:formatCode>
                <c:ptCount val="3"/>
                <c:pt idx="0">
                  <c:v>12.8</c:v>
                </c:pt>
                <c:pt idx="1">
                  <c:v>4.4000000000000004</c:v>
                </c:pt>
                <c:pt idx="2">
                  <c:v>11.6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80-46F1-B059-BD2D494E5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410191"/>
        <c:axId val="781396879"/>
      </c:lineChart>
      <c:lineChart>
        <c:grouping val="standard"/>
        <c:varyColors val="0"/>
        <c:ser>
          <c:idx val="0"/>
          <c:order val="0"/>
          <c:tx>
            <c:strRef>
              <c:f>'[Chart in Microsoft Word]Sheet1'!$A$6</c:f>
              <c:strCache>
                <c:ptCount val="1"/>
                <c:pt idx="0">
                  <c:v>Umiditate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'[Chart in Microsoft Word]Sheet1'!$B$5:$D$5</c:f>
              <c:strCache>
                <c:ptCount val="3"/>
                <c:pt idx="0">
                  <c:v>P1</c:v>
                </c:pt>
                <c:pt idx="1">
                  <c:v>P2</c:v>
                </c:pt>
                <c:pt idx="2">
                  <c:v>P3</c:v>
                </c:pt>
              </c:strCache>
            </c:strRef>
          </c:cat>
          <c:val>
            <c:numRef>
              <c:f>'[Chart in Microsoft Word]Sheet1'!$B$6:$D$6</c:f>
              <c:numCache>
                <c:formatCode>General</c:formatCode>
                <c:ptCount val="3"/>
                <c:pt idx="0">
                  <c:v>0.16</c:v>
                </c:pt>
                <c:pt idx="1">
                  <c:v>0.2</c:v>
                </c:pt>
                <c:pt idx="2">
                  <c:v>0.14499999999999999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80-46F1-B059-BD2D494E5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6590095"/>
        <c:axId val="736588847"/>
      </c:lineChart>
      <c:catAx>
        <c:axId val="78141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396879"/>
        <c:crosses val="autoZero"/>
        <c:auto val="1"/>
        <c:lblAlgn val="ctr"/>
        <c:lblOffset val="100"/>
        <c:noMultiLvlLbl val="0"/>
      </c:catAx>
      <c:valAx>
        <c:axId val="781396879"/>
        <c:scaling>
          <c:orientation val="minMax"/>
          <c:max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10191"/>
        <c:crosses val="autoZero"/>
        <c:crossBetween val="between"/>
      </c:valAx>
      <c:valAx>
        <c:axId val="736588847"/>
        <c:scaling>
          <c:orientation val="minMax"/>
          <c:max val="0.44845000000000007"/>
        </c:scaling>
        <c:delete val="0"/>
        <c:axPos val="r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590095"/>
        <c:crosses val="max"/>
        <c:crossBetween val="between"/>
      </c:valAx>
      <c:catAx>
        <c:axId val="73659009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3658884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Florinel-PC</dc:creator>
  <cp:keywords/>
  <dc:description/>
  <cp:lastModifiedBy>Florinel-PC</cp:lastModifiedBy>
  <cp:revision>2</cp:revision>
  <dcterms:created xsi:type="dcterms:W3CDTF">2020-06-07T14:27:00Z</dcterms:created>
  <dcterms:modified xsi:type="dcterms:W3CDTF">2020-06-07T18:23:00Z</dcterms:modified>
</cp:coreProperties>
</file>