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D7" w:rsidRDefault="00BB08D7" w:rsidP="00BB08D7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12529"/>
          <w:sz w:val="28"/>
          <w:szCs w:val="28"/>
          <w:lang w:val="uk-UA"/>
        </w:rPr>
      </w:pPr>
      <w:r w:rsidRPr="00BB08D7">
        <w:rPr>
          <w:b/>
          <w:color w:val="212529"/>
          <w:sz w:val="32"/>
          <w:szCs w:val="28"/>
          <w:lang w:val="uk-UA"/>
        </w:rPr>
        <w:t>О</w:t>
      </w:r>
      <w:r w:rsidRPr="00BB08D7">
        <w:rPr>
          <w:b/>
          <w:color w:val="212529"/>
          <w:sz w:val="32"/>
          <w:szCs w:val="28"/>
          <w:lang w:val="uk-UA"/>
        </w:rPr>
        <w:t>сновні складові та напрями розвитку обраного Вами розумн</w:t>
      </w:r>
      <w:r w:rsidRPr="00BB08D7">
        <w:rPr>
          <w:b/>
          <w:color w:val="212529"/>
          <w:sz w:val="32"/>
          <w:szCs w:val="28"/>
          <w:lang w:val="uk-UA"/>
        </w:rPr>
        <w:t>ого міста</w:t>
      </w:r>
    </w:p>
    <w:p w:rsidR="00BB08D7" w:rsidRDefault="00BB08D7" w:rsidP="00BB08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Розумне інвестування в розвиток інфраструктури міста</w:t>
      </w:r>
    </w:p>
    <w:p w:rsidR="00BB08D7" w:rsidRDefault="00BB08D7" w:rsidP="00BB08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Координування політики міста</w:t>
      </w:r>
    </w:p>
    <w:p w:rsidR="00BB08D7" w:rsidRPr="00BB08D7" w:rsidRDefault="00BB08D7" w:rsidP="00BB08D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Сприяння впровадженню розумних технологій для покращення стійкості міст, стимулювання розвитку інноваційних технологій</w:t>
      </w:r>
    </w:p>
    <w:p w:rsidR="00BB08D7" w:rsidRDefault="00BB08D7" w:rsidP="00BB08D7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12529"/>
          <w:sz w:val="28"/>
          <w:szCs w:val="28"/>
          <w:lang w:val="uk-UA"/>
        </w:rPr>
      </w:pPr>
      <w:r>
        <w:rPr>
          <w:b/>
          <w:color w:val="212529"/>
          <w:sz w:val="32"/>
          <w:szCs w:val="28"/>
          <w:lang w:val="uk-UA"/>
        </w:rPr>
        <w:t>Обґрунтування актуальності обраних напрямів</w:t>
      </w:r>
    </w:p>
    <w:p w:rsidR="00BB08D7" w:rsidRDefault="00BB08D7" w:rsidP="00BB08D7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І</w:t>
      </w:r>
      <w:r>
        <w:rPr>
          <w:color w:val="212529"/>
          <w:sz w:val="28"/>
          <w:szCs w:val="28"/>
          <w:lang w:val="uk-UA"/>
        </w:rPr>
        <w:t>нвестува</w:t>
      </w:r>
      <w:r w:rsidR="00B17731">
        <w:rPr>
          <w:color w:val="212529"/>
          <w:sz w:val="28"/>
          <w:szCs w:val="28"/>
          <w:lang w:val="uk-UA"/>
        </w:rPr>
        <w:t>ння в розвиток інфраструктури.</w:t>
      </w:r>
    </w:p>
    <w:p w:rsidR="00F440B0" w:rsidRDefault="00F440B0" w:rsidP="00F440B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Надаючи</w:t>
      </w:r>
      <w:r w:rsidRPr="00F440B0">
        <w:rPr>
          <w:color w:val="212529"/>
          <w:sz w:val="28"/>
          <w:szCs w:val="28"/>
          <w:lang w:val="uk-UA"/>
        </w:rPr>
        <w:t xml:space="preserve"> пріоритет проектам, які відповідають більш широким економічним та міським цілям, таким як доступність, робочі місця, доступне житло та здорове середовище</w:t>
      </w:r>
      <w:r>
        <w:rPr>
          <w:color w:val="212529"/>
          <w:sz w:val="28"/>
          <w:szCs w:val="28"/>
          <w:lang w:val="uk-UA"/>
        </w:rPr>
        <w:t xml:space="preserve"> — можна значно покращити рівень життя та досвід користування інфраструктурою міста. А також пришвидшити прихід до </w:t>
      </w:r>
      <w:proofErr w:type="spellStart"/>
      <w:r>
        <w:rPr>
          <w:color w:val="212529"/>
          <w:sz w:val="28"/>
          <w:szCs w:val="28"/>
          <w:lang w:val="uk-UA"/>
        </w:rPr>
        <w:t>інклюзивності</w:t>
      </w:r>
      <w:proofErr w:type="spellEnd"/>
      <w:r>
        <w:rPr>
          <w:color w:val="212529"/>
          <w:sz w:val="28"/>
          <w:szCs w:val="28"/>
          <w:lang w:val="uk-UA"/>
        </w:rPr>
        <w:t>.</w:t>
      </w:r>
    </w:p>
    <w:p w:rsidR="00F440B0" w:rsidRDefault="00F440B0" w:rsidP="00F440B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Р</w:t>
      </w:r>
      <w:r w:rsidRPr="00F440B0">
        <w:rPr>
          <w:color w:val="212529"/>
          <w:sz w:val="28"/>
          <w:szCs w:val="28"/>
          <w:lang w:val="uk-UA"/>
        </w:rPr>
        <w:t>озгляда</w:t>
      </w:r>
      <w:r>
        <w:rPr>
          <w:color w:val="212529"/>
          <w:sz w:val="28"/>
          <w:szCs w:val="28"/>
          <w:lang w:val="uk-UA"/>
        </w:rPr>
        <w:t>юч</w:t>
      </w:r>
      <w:r w:rsidRPr="00F440B0">
        <w:rPr>
          <w:color w:val="212529"/>
          <w:sz w:val="28"/>
          <w:szCs w:val="28"/>
          <w:lang w:val="uk-UA"/>
        </w:rPr>
        <w:t>и фінансування інфраструктури як довго</w:t>
      </w:r>
      <w:r>
        <w:rPr>
          <w:color w:val="212529"/>
          <w:sz w:val="28"/>
          <w:szCs w:val="28"/>
          <w:lang w:val="uk-UA"/>
        </w:rPr>
        <w:t>строкову інвестицію, а не грант — можна</w:t>
      </w:r>
      <w:r w:rsidRPr="00F440B0">
        <w:rPr>
          <w:color w:val="212529"/>
          <w:sz w:val="28"/>
          <w:szCs w:val="28"/>
          <w:lang w:val="uk-UA"/>
        </w:rPr>
        <w:t xml:space="preserve"> забезпечити проекти створення можливостей для оновлення міст та залучення приватного капіталу.</w:t>
      </w:r>
    </w:p>
    <w:p w:rsidR="00F440B0" w:rsidRDefault="00F440B0" w:rsidP="00F440B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 w:rsidRPr="00F440B0">
        <w:rPr>
          <w:color w:val="212529"/>
          <w:sz w:val="28"/>
          <w:szCs w:val="28"/>
          <w:lang w:val="uk-UA"/>
        </w:rPr>
        <w:t>Спираючись на інноваційні підходи до фінансування, включаючи захоплення вартості, ми скористаємось балансом та швидше забезпечимо більш важливу інфраструктуру.</w:t>
      </w:r>
    </w:p>
    <w:p w:rsidR="00F440B0" w:rsidRDefault="00F440B0" w:rsidP="00F440B0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Координування політики міста</w:t>
      </w:r>
      <w:r w:rsidR="00B17731">
        <w:rPr>
          <w:color w:val="212529"/>
          <w:sz w:val="28"/>
          <w:szCs w:val="28"/>
          <w:lang w:val="uk-UA"/>
        </w:rPr>
        <w:t>.</w:t>
      </w:r>
    </w:p>
    <w:p w:rsidR="00F440B0" w:rsidRDefault="00B17731" w:rsidP="00F440B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Залучачи всі рівні влади для розробки міських угод, які розблокують державні та приватні інвестиції в ключові економічні центри можна стимулювати реформи, а також зробити місто кращим для життя та ведення бізнесу.</w:t>
      </w:r>
    </w:p>
    <w:p w:rsidR="00B17731" w:rsidRDefault="00B17731" w:rsidP="00F440B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Аналізуючи результати діяльності міст можна проводити «роботу над помилками» там ефективно реагувати на них.</w:t>
      </w:r>
    </w:p>
    <w:p w:rsidR="00F440B0" w:rsidRDefault="00B17731" w:rsidP="00B17731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Сприяння впровадженню розумних технологій для покращення стійкості міст, стимулювання розвитку інноваційних технологій</w:t>
      </w:r>
    </w:p>
    <w:p w:rsidR="00C75320" w:rsidRPr="00C75320" w:rsidRDefault="00C75320" w:rsidP="00C75320">
      <w:pPr>
        <w:pStyle w:val="a3"/>
        <w:numPr>
          <w:ilvl w:val="1"/>
          <w:numId w:val="2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Використ</w:t>
      </w:r>
      <w:r w:rsidRPr="00C75320">
        <w:rPr>
          <w:color w:val="212529"/>
          <w:sz w:val="28"/>
          <w:szCs w:val="28"/>
          <w:lang w:val="uk-UA"/>
        </w:rPr>
        <w:t>а</w:t>
      </w:r>
      <w:r>
        <w:rPr>
          <w:color w:val="212529"/>
          <w:sz w:val="28"/>
          <w:szCs w:val="28"/>
          <w:lang w:val="uk-UA"/>
        </w:rPr>
        <w:t>ння</w:t>
      </w:r>
      <w:r w:rsidRPr="00C75320">
        <w:rPr>
          <w:color w:val="212529"/>
          <w:sz w:val="28"/>
          <w:szCs w:val="28"/>
          <w:lang w:val="uk-UA"/>
        </w:rPr>
        <w:t xml:space="preserve"> відкрит</w:t>
      </w:r>
      <w:r>
        <w:rPr>
          <w:color w:val="212529"/>
          <w:sz w:val="28"/>
          <w:szCs w:val="28"/>
          <w:lang w:val="uk-UA"/>
        </w:rPr>
        <w:t>их</w:t>
      </w:r>
      <w:r w:rsidRPr="00C75320">
        <w:rPr>
          <w:color w:val="212529"/>
          <w:sz w:val="28"/>
          <w:szCs w:val="28"/>
          <w:lang w:val="uk-UA"/>
        </w:rPr>
        <w:t xml:space="preserve"> рішен</w:t>
      </w:r>
      <w:r>
        <w:rPr>
          <w:color w:val="212529"/>
          <w:sz w:val="28"/>
          <w:szCs w:val="28"/>
          <w:lang w:val="uk-UA"/>
        </w:rPr>
        <w:t>ь</w:t>
      </w:r>
      <w:r w:rsidRPr="00C75320">
        <w:rPr>
          <w:color w:val="212529"/>
          <w:sz w:val="28"/>
          <w:szCs w:val="28"/>
          <w:lang w:val="uk-UA"/>
        </w:rPr>
        <w:t>, орієнтован</w:t>
      </w:r>
      <w:r>
        <w:rPr>
          <w:color w:val="212529"/>
          <w:sz w:val="28"/>
          <w:szCs w:val="28"/>
          <w:lang w:val="uk-UA"/>
        </w:rPr>
        <w:t>их</w:t>
      </w:r>
      <w:r w:rsidRPr="00C75320">
        <w:rPr>
          <w:color w:val="212529"/>
          <w:sz w:val="28"/>
          <w:szCs w:val="28"/>
          <w:lang w:val="uk-UA"/>
        </w:rPr>
        <w:t xml:space="preserve"> на дані, в режимі реального часу та підтрим</w:t>
      </w:r>
      <w:r>
        <w:rPr>
          <w:color w:val="212529"/>
          <w:sz w:val="28"/>
          <w:szCs w:val="28"/>
          <w:lang w:val="uk-UA"/>
        </w:rPr>
        <w:t>ка</w:t>
      </w:r>
      <w:r w:rsidRPr="00C75320">
        <w:rPr>
          <w:color w:val="212529"/>
          <w:sz w:val="28"/>
          <w:szCs w:val="28"/>
          <w:lang w:val="uk-UA"/>
        </w:rPr>
        <w:t xml:space="preserve"> інвестиції у сектори, що комерціалізують нові інновації для зростання економіки</w:t>
      </w:r>
      <w:r>
        <w:rPr>
          <w:color w:val="212529"/>
          <w:sz w:val="28"/>
          <w:szCs w:val="28"/>
          <w:lang w:val="uk-UA"/>
        </w:rPr>
        <w:t xml:space="preserve"> дає можливість відмовитись від людського фактору та перекласти значну відповідальність на нові технології.</w:t>
      </w:r>
    </w:p>
    <w:p w:rsidR="00C75320" w:rsidRDefault="00C75320">
      <w:pPr>
        <w:rPr>
          <w:rFonts w:ascii="Times New Roman" w:eastAsia="Times New Roman" w:hAnsi="Times New Roman" w:cs="Times New Roman"/>
          <w:b/>
          <w:color w:val="212529"/>
          <w:sz w:val="32"/>
          <w:szCs w:val="28"/>
          <w:lang w:val="uk-UA" w:eastAsia="ru-RU"/>
        </w:rPr>
      </w:pPr>
      <w:r>
        <w:rPr>
          <w:b/>
          <w:color w:val="212529"/>
          <w:sz w:val="32"/>
          <w:szCs w:val="28"/>
          <w:lang w:val="uk-UA"/>
        </w:rPr>
        <w:br w:type="page"/>
      </w:r>
    </w:p>
    <w:p w:rsidR="00BB08D7" w:rsidRPr="00F440B0" w:rsidRDefault="00BB08D7" w:rsidP="00BB08D7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212529"/>
          <w:sz w:val="32"/>
          <w:szCs w:val="28"/>
          <w:lang w:val="uk-UA"/>
        </w:rPr>
      </w:pPr>
      <w:r w:rsidRPr="00F440B0">
        <w:rPr>
          <w:b/>
          <w:color w:val="212529"/>
          <w:sz w:val="32"/>
          <w:szCs w:val="28"/>
          <w:lang w:val="uk-UA"/>
        </w:rPr>
        <w:lastRenderedPageBreak/>
        <w:t>Порівняння досвіду Австралії та Манчестера</w:t>
      </w:r>
    </w:p>
    <w:p w:rsidR="00BB08D7" w:rsidRDefault="00881EAC" w:rsidP="00881EAC">
      <w:pPr>
        <w:pStyle w:val="a3"/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en-US"/>
        </w:rPr>
      </w:pPr>
      <w:r w:rsidRPr="00881EAC">
        <w:rPr>
          <w:color w:val="212529"/>
          <w:sz w:val="28"/>
          <w:szCs w:val="28"/>
          <w:lang w:val="uk-UA"/>
        </w:rPr>
        <w:t>Стратегія</w:t>
      </w:r>
      <w:r>
        <w:rPr>
          <w:color w:val="212529"/>
          <w:sz w:val="28"/>
          <w:szCs w:val="28"/>
          <w:lang w:val="uk-UA"/>
        </w:rPr>
        <w:t xml:space="preserve"> розвитку розумного міста</w:t>
      </w:r>
      <w:r w:rsidRPr="00881EAC">
        <w:rPr>
          <w:color w:val="212529"/>
          <w:sz w:val="28"/>
          <w:szCs w:val="28"/>
          <w:lang w:val="uk-UA"/>
        </w:rPr>
        <w:t xml:space="preserve"> Манчестера</w:t>
      </w:r>
      <w:r>
        <w:rPr>
          <w:color w:val="212529"/>
          <w:sz w:val="28"/>
          <w:szCs w:val="28"/>
          <w:lang w:val="en-US"/>
        </w:rPr>
        <w:t>:</w:t>
      </w:r>
      <w:r>
        <w:rPr>
          <w:color w:val="212529"/>
          <w:sz w:val="28"/>
          <w:szCs w:val="28"/>
          <w:lang w:val="uk-UA"/>
        </w:rPr>
        <w:t xml:space="preserve"> </w:t>
      </w:r>
      <w:hyperlink r:id="rId5" w:history="1">
        <w:r w:rsidRPr="002E7C48">
          <w:rPr>
            <w:rStyle w:val="a4"/>
            <w:sz w:val="28"/>
            <w:szCs w:val="28"/>
            <w:lang w:val="en-US"/>
          </w:rPr>
          <w:t>https://manchestercommunitycentral.org/news/manchester-digital-strategy-creating-inclusive-sustainable-and-resilient-smart-city</w:t>
        </w:r>
      </w:hyperlink>
    </w:p>
    <w:p w:rsidR="00881EAC" w:rsidRDefault="00881EAC" w:rsidP="00881EAC">
      <w:pPr>
        <w:pStyle w:val="a3"/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</w:p>
    <w:p w:rsidR="004C712E" w:rsidRPr="00881EAC" w:rsidRDefault="00881EAC" w:rsidP="00881EAC">
      <w:pPr>
        <w:pStyle w:val="a3"/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ab/>
        <w:t xml:space="preserve">Порівнюючи стратегії Манчестера та Австралії можна побачити, що обидві стратегії мають певні спільні риси. Так, наприклад, обидві стратегії орієнтуються на використання новітніх технологій, залучення інвестицій від бізнесу, та </w:t>
      </w:r>
      <w:r w:rsidR="004C712E">
        <w:rPr>
          <w:color w:val="212529"/>
          <w:sz w:val="28"/>
          <w:szCs w:val="28"/>
          <w:lang w:val="uk-UA"/>
        </w:rPr>
        <w:t xml:space="preserve">розвитку політики розумних міст. На мою думку, це не дивно. Бо міста Австралії займають верхні рядки рейтингу розумних міст, а отже там знають, чого саме вони хочуть добитися і як це правильно зробити. А як відомо, хочеш зробити добре — скористайся чиїмось досвідом. Таким чином, певна кореляція планів Манчестера та Австралії не є дивною та неочікуваною. </w:t>
      </w:r>
    </w:p>
    <w:p w:rsidR="00BB08D7" w:rsidRPr="00F440B0" w:rsidRDefault="00BB08D7" w:rsidP="00BB08D7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212529"/>
          <w:sz w:val="32"/>
          <w:szCs w:val="28"/>
          <w:lang w:val="uk-UA"/>
        </w:rPr>
      </w:pPr>
      <w:r w:rsidRPr="00F440B0">
        <w:rPr>
          <w:b/>
          <w:color w:val="212529"/>
          <w:sz w:val="32"/>
          <w:szCs w:val="28"/>
          <w:lang w:val="uk-UA"/>
        </w:rPr>
        <w:t>Модель співпраці для розвитку розумного міста</w:t>
      </w:r>
    </w:p>
    <w:p w:rsidR="00BB08D7" w:rsidRDefault="004C712E" w:rsidP="004C712E">
      <w:pPr>
        <w:pStyle w:val="a3"/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uk-UA"/>
        </w:rPr>
        <w:tab/>
        <w:t>За рахунок сильного цифрового сектору та</w:t>
      </w:r>
      <w:r w:rsidRPr="004C712E">
        <w:t xml:space="preserve"> </w:t>
      </w:r>
      <w:r w:rsidRPr="004C712E">
        <w:rPr>
          <w:color w:val="212529"/>
          <w:sz w:val="28"/>
          <w:szCs w:val="28"/>
          <w:lang w:val="uk-UA"/>
        </w:rPr>
        <w:t>екосистем</w:t>
      </w:r>
      <w:r>
        <w:rPr>
          <w:color w:val="212529"/>
          <w:sz w:val="28"/>
          <w:szCs w:val="28"/>
          <w:lang w:val="uk-UA"/>
        </w:rPr>
        <w:t>и, що</w:t>
      </w:r>
      <w:r w:rsidRPr="004C712E">
        <w:rPr>
          <w:color w:val="212529"/>
          <w:sz w:val="28"/>
          <w:szCs w:val="28"/>
          <w:lang w:val="uk-UA"/>
        </w:rPr>
        <w:t xml:space="preserve"> постійно випередж</w:t>
      </w:r>
      <w:r>
        <w:rPr>
          <w:color w:val="212529"/>
          <w:sz w:val="28"/>
          <w:szCs w:val="28"/>
          <w:lang w:val="uk-UA"/>
        </w:rPr>
        <w:t>ає «усі міста за межами Лондона» у цього міста є можливість залучати інвестиції у сферу ІТ та розвиток та розробку нових технологій. Як наслідок, Манчестер лежить в основі потужної цифрової екосистеми «</w:t>
      </w:r>
      <w:r>
        <w:rPr>
          <w:color w:val="212529"/>
          <w:sz w:val="28"/>
          <w:szCs w:val="28"/>
          <w:lang w:val="en-US"/>
        </w:rPr>
        <w:t>Manchester Digital</w:t>
      </w:r>
      <w:r>
        <w:rPr>
          <w:color w:val="212529"/>
          <w:sz w:val="28"/>
          <w:szCs w:val="28"/>
          <w:lang w:val="uk-UA"/>
        </w:rPr>
        <w:t>»</w:t>
      </w:r>
      <w:r>
        <w:rPr>
          <w:color w:val="212529"/>
          <w:sz w:val="28"/>
          <w:szCs w:val="28"/>
          <w:lang w:val="en-US"/>
        </w:rPr>
        <w:t>.</w:t>
      </w:r>
      <w:r>
        <w:rPr>
          <w:color w:val="212529"/>
          <w:sz w:val="28"/>
          <w:szCs w:val="28"/>
          <w:lang w:val="uk-UA"/>
        </w:rPr>
        <w:t xml:space="preserve"> </w:t>
      </w:r>
      <w:r w:rsidRPr="004C712E">
        <w:rPr>
          <w:color w:val="212529"/>
          <w:sz w:val="28"/>
          <w:szCs w:val="28"/>
          <w:lang w:val="uk-UA"/>
        </w:rPr>
        <w:t xml:space="preserve">Манчестер також є центром досліджень та інновацій навколо ідеї "Індустрії 4.0", особливо у передовому виробництві, робототехніці та автоматизації, і це вже стимулює мислення навколо ідеї "Індустрії 5.0" з наміром пов'язати це з ідеями більш орієнтований на людей розвиток промислової </w:t>
      </w:r>
      <w:proofErr w:type="spellStart"/>
      <w:r w:rsidRPr="004C712E">
        <w:rPr>
          <w:color w:val="212529"/>
          <w:sz w:val="28"/>
          <w:szCs w:val="28"/>
          <w:lang w:val="uk-UA"/>
        </w:rPr>
        <w:t>цифровизації</w:t>
      </w:r>
      <w:proofErr w:type="spellEnd"/>
      <w:r w:rsidRPr="004C712E">
        <w:rPr>
          <w:color w:val="212529"/>
          <w:sz w:val="28"/>
          <w:szCs w:val="28"/>
          <w:lang w:val="uk-UA"/>
        </w:rPr>
        <w:t>.</w:t>
      </w:r>
      <w:r>
        <w:rPr>
          <w:color w:val="212529"/>
          <w:sz w:val="28"/>
          <w:szCs w:val="28"/>
          <w:lang w:val="en-US"/>
        </w:rPr>
        <w:t xml:space="preserve"> </w:t>
      </w:r>
    </w:p>
    <w:p w:rsidR="00DA7E1D" w:rsidRPr="004C712E" w:rsidRDefault="00DA7E1D" w:rsidP="00DA7E1D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12529"/>
          <w:sz w:val="28"/>
          <w:szCs w:val="28"/>
          <w:lang w:val="uk-UA"/>
        </w:rPr>
      </w:pPr>
      <w:r w:rsidRPr="00DA7E1D">
        <w:rPr>
          <w:color w:val="212529"/>
          <w:sz w:val="28"/>
          <w:szCs w:val="28"/>
          <w:lang w:val="uk-UA"/>
        </w:rPr>
        <w:t>Міська рада прац</w:t>
      </w:r>
      <w:bookmarkStart w:id="0" w:name="_GoBack"/>
      <w:bookmarkEnd w:id="0"/>
      <w:r w:rsidRPr="00DA7E1D">
        <w:rPr>
          <w:color w:val="212529"/>
          <w:sz w:val="28"/>
          <w:szCs w:val="28"/>
          <w:lang w:val="uk-UA"/>
        </w:rPr>
        <w:t>ює над тим, щоб ця робота узгоджувалася з Планом відновлення культури та цифровим проектом GM. Приємно бачити прихильність цьому вирівнюванню на рівні міста-регіону, де GMCA також прагне узгодити свою роботу з Манчестерською цифровою стратегією, включаючи використання подібного фокусу для пріоритетів з акцентом на «Розумні люди, розумні місця та Розумний процвітання».</w:t>
      </w:r>
    </w:p>
    <w:p w:rsidR="00BB08D7" w:rsidRDefault="00BB08D7" w:rsidP="00BB08D7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212529"/>
          <w:sz w:val="32"/>
          <w:szCs w:val="28"/>
          <w:lang w:val="uk-UA"/>
        </w:rPr>
      </w:pPr>
      <w:r w:rsidRPr="00F440B0">
        <w:rPr>
          <w:b/>
          <w:color w:val="212529"/>
          <w:sz w:val="32"/>
          <w:szCs w:val="28"/>
          <w:lang w:val="uk-UA"/>
        </w:rPr>
        <w:t>Потенційні проблеми ефективної співпраці</w:t>
      </w:r>
    </w:p>
    <w:p w:rsidR="00C75320" w:rsidRDefault="00C75320" w:rsidP="00C7532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Відсутність або непрозорість звітної документації;</w:t>
      </w:r>
    </w:p>
    <w:p w:rsidR="00C75320" w:rsidRDefault="00C75320" w:rsidP="00C7532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Проєкт, що суперечить інтересам однієї зі сторін;</w:t>
      </w:r>
    </w:p>
    <w:p w:rsidR="00C75320" w:rsidRDefault="00C75320" w:rsidP="00C7532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Недотримання умов договорів однією зі сторін;</w:t>
      </w:r>
    </w:p>
    <w:p w:rsidR="00C75320" w:rsidRDefault="00C75320" w:rsidP="00C7532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«Нечесна гра» однієї зі сторін</w:t>
      </w:r>
    </w:p>
    <w:p w:rsidR="00C75320" w:rsidRDefault="00C75320" w:rsidP="00C75320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Приховані інтереси однієї зі сторін</w:t>
      </w:r>
    </w:p>
    <w:p w:rsidR="00C75320" w:rsidRPr="00C75320" w:rsidRDefault="00C75320" w:rsidP="00C75320">
      <w:pPr>
        <w:pStyle w:val="a3"/>
        <w:shd w:val="clear" w:color="auto" w:fill="FFFFFF"/>
        <w:spacing w:before="120" w:beforeAutospacing="0" w:after="120" w:afterAutospacing="0"/>
        <w:ind w:left="720"/>
        <w:rPr>
          <w:color w:val="212529"/>
          <w:sz w:val="28"/>
          <w:szCs w:val="28"/>
          <w:lang w:val="uk-UA"/>
        </w:rPr>
      </w:pPr>
    </w:p>
    <w:sectPr w:rsidR="00C75320" w:rsidRPr="00C7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6566"/>
    <w:multiLevelType w:val="hybridMultilevel"/>
    <w:tmpl w:val="E14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13449"/>
    <w:multiLevelType w:val="hybridMultilevel"/>
    <w:tmpl w:val="FF5C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067FE"/>
    <w:multiLevelType w:val="hybridMultilevel"/>
    <w:tmpl w:val="65AAA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51"/>
    <w:rsid w:val="000331D7"/>
    <w:rsid w:val="00226B51"/>
    <w:rsid w:val="004C712E"/>
    <w:rsid w:val="00881EAC"/>
    <w:rsid w:val="00B17731"/>
    <w:rsid w:val="00BB08D7"/>
    <w:rsid w:val="00C75320"/>
    <w:rsid w:val="00DA7E1D"/>
    <w:rsid w:val="00F4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34D4"/>
  <w15:chartTrackingRefBased/>
  <w15:docId w15:val="{B6779EB1-4122-419F-8614-33232822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81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chestercommunitycentral.org/news/manchester-digital-strategy-creating-inclusive-sustainable-and-resilient-smart-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2021-10-12T08:13:00Z</dcterms:created>
  <dcterms:modified xsi:type="dcterms:W3CDTF">2021-10-12T09:21:00Z</dcterms:modified>
</cp:coreProperties>
</file>