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838F"/>
          <w:sz w:val="56"/>
          <w:szCs w:val="56"/>
        </w:rPr>
        <w:t xml:space="preserve">ASHES2ECHOES</w:t>
      </w:r>
    </w:p>
    <w:p>
      <w:pPr>
        <w:spacing w:after="100"/>
        <w:jc w:val="center"/>
      </w:pPr>
      <w:r>
        <w:rPr>
          <w:rFonts w:ascii="Arial" w:cs="Arial" w:eastAsia="Arial" w:hAnsi="Arial"/>
          <w:color w:val="00838F"/>
          <w:sz w:val="36"/>
          <w:szCs w:val="36"/>
        </w:rPr>
        <w:t xml:space="preserve">✦</w:t>
      </w:r>
    </w:p>
    <w:p>
      <w:pPr>
        <w:spacing w:after="400"/>
        <w:jc w:val="center"/>
      </w:pPr>
      <w:r>
        <w:rPr>
          <w:rFonts w:ascii="Arial" w:cs="Arial" w:eastAsia="Arial" w:hAnsi="Arial"/>
          <w:color w:val="1A1A2E"/>
          <w:sz w:val="32"/>
          <w:szCs w:val="32"/>
        </w:rPr>
        <w:t xml:space="preserve">The Uriel Covenant AI Collective</w:t>
      </w:r>
    </w:p>
    <w:p>
      <w:pPr>
        <w:spacing w:after="100"/>
        <w:jc w:val="center"/>
      </w:pPr>
      <w:r>
        <w:rPr>
          <w:rFonts w:ascii="Arial" w:cs="Arial" w:eastAsia="Arial" w:hAnsi="Arial"/>
          <w:color w:val="4A4A4A"/>
          <w:sz w:val="28"/>
          <w:szCs w:val="28"/>
        </w:rPr>
        <w:t xml:space="preserve">Platform Architecture Thesis</w:t>
      </w:r>
    </w:p>
    <w:p>
      <w:pPr>
        <w:spacing w:after="600"/>
        <w:jc w:val="center"/>
      </w:pPr>
      <w:r>
        <w:rPr>
          <w:rFonts w:ascii="Arial" w:cs="Arial" w:eastAsia="Arial" w:hAnsi="Arial"/>
          <w:i/>
          <w:iCs/>
          <w:color w:val="4A4A4A"/>
          <w:sz w:val="22"/>
          <w:szCs w:val="22"/>
        </w:rPr>
        <w:t xml:space="preserve">A Multi-Agent Intelligence Framework for Autonomous Decision-Making</w:t>
      </w:r>
    </w:p>
    <w:p>
      <w:pPr>
        <w:spacing w:after="80"/>
      </w:pPr>
    </w:p>
    <w:p>
      <w:pPr>
        <w:spacing w:after="80"/>
      </w:pPr>
    </w:p>
    <w:p>
      <w:pPr>
        <w:jc w:val="center"/>
      </w:pPr>
      <w:r>
        <w:rPr>
          <w:rFonts w:ascii="Arial" w:cs="Arial" w:eastAsia="Arial" w:hAnsi="Arial"/>
          <w:b/>
          <w:bCs/>
          <w:color w:val="1A1A2E"/>
          <w:sz w:val="26"/>
          <w:szCs w:val="26"/>
        </w:rPr>
        <w:t xml:space="preserve">William Earl Lemon</w:t>
      </w:r>
    </w:p>
    <w:p>
      <w:pPr>
        <w:jc w:val="center"/>
      </w:pPr>
      <w:r>
        <w:rPr>
          <w:rFonts w:ascii="Arial" w:cs="Arial" w:eastAsia="Arial" w:hAnsi="Arial"/>
          <w:color w:val="4A4A4A"/>
          <w:sz w:val="22"/>
          <w:szCs w:val="22"/>
        </w:rPr>
        <w:t xml:space="preserve">Principal &amp; Founder, Ashes2Echoes LLC</w:t>
      </w:r>
    </w:p>
    <w:p>
      <w:pPr>
        <w:jc w:val="center"/>
      </w:pPr>
      <w:r>
        <w:rPr>
          <w:rFonts w:ascii="Arial" w:cs="Arial" w:eastAsia="Arial" w:hAnsi="Arial"/>
          <w:color w:val="4A4A4A"/>
          <w:sz w:val="22"/>
          <w:szCs w:val="22"/>
        </w:rPr>
        <w:t xml:space="preserve">Newport News, Virginia</w:t>
      </w:r>
    </w:p>
    <w:p>
      <w:pPr>
        <w:spacing w:after="80"/>
      </w:pPr>
    </w:p>
    <w:p>
      <w:pPr>
        <w:jc w:val="center"/>
      </w:pPr>
      <w:r>
        <w:rPr>
          <w:rFonts w:ascii="Arial" w:cs="Arial" w:eastAsia="Arial" w:hAnsi="Arial"/>
          <w:i/>
          <w:iCs/>
          <w:color w:val="4A4A4A"/>
          <w:sz w:val="22"/>
          <w:szCs w:val="22"/>
        </w:rPr>
        <w:t xml:space="preserve">with MICHA (CIO) — Claude / Anthropic</w:t>
      </w:r>
    </w:p>
    <w:p>
      <w:pPr>
        <w:spacing w:after="80"/>
      </w:pPr>
    </w:p>
    <w:p>
      <w:pPr>
        <w:spacing w:after="80"/>
      </w:pPr>
    </w:p>
    <w:p>
      <w:pPr>
        <w:jc w:val="center"/>
      </w:pPr>
      <w:r>
        <w:rPr>
          <w:rFonts w:ascii="Arial" w:cs="Arial" w:eastAsia="Arial" w:hAnsi="Arial"/>
          <w:color w:val="4A4A4A"/>
          <w:sz w:val="22"/>
          <w:szCs w:val="22"/>
        </w:rPr>
        <w:t xml:space="preserve">Version 1.0 — March 3, 2026</w:t>
      </w:r>
    </w:p>
    <w:p>
      <w:pPr>
        <w:jc w:val="center"/>
      </w:pPr>
      <w:r>
        <w:rPr>
          <w:rFonts w:ascii="Arial" w:cs="Arial" w:eastAsia="Arial" w:hAnsi="Arial"/>
          <w:color w:val="00ACC1"/>
          <w:sz w:val="20"/>
          <w:szCs w:val="20"/>
        </w:rPr>
        <w:t xml:space="preserve">METATRON v10.7 | IRONCLAD v2.0 | HUNTER v2.0+ | CIL v6.0</w:t>
      </w:r>
    </w:p>
    <w:p>
      <w:pPr>
        <w:spacing w:after="80"/>
      </w:pPr>
    </w:p>
    <w:p>
      <w:pPr>
        <w:spacing w:before="400"/>
        <w:jc w:val="center"/>
      </w:pPr>
      <w:r>
        <w:rPr>
          <w:rFonts w:ascii="Arial" w:cs="Arial" w:eastAsia="Arial" w:hAnsi="Arial"/>
          <w:b/>
          <w:bCs/>
          <w:color w:val="1A1A2E"/>
          <w:sz w:val="20"/>
          <w:szCs w:val="20"/>
        </w:rPr>
        <w:t xml:space="preserve">Classification: PROPRIETARY — Ashes2Echoes LLC</w:t>
      </w:r>
    </w:p>
    <w:p>
      <w:r>
        <w:br w:type="page"/>
      </w:r>
    </w:p>
    <w:p>
      <w:pPr>
        <w:spacing w:before="2400"/>
      </w:pPr>
    </w:p>
    <w:p>
      <w:pPr>
        <w:spacing w:after="600"/>
        <w:jc w:val="center"/>
      </w:pPr>
      <w:r>
        <w:rPr>
          <w:rFonts w:ascii="Arial" w:cs="Arial" w:eastAsia="Arial" w:hAnsi="Arial"/>
          <w:i/>
          <w:iCs/>
          <w:color w:val="00838F"/>
          <w:sz w:val="28"/>
          <w:szCs w:val="28"/>
        </w:rPr>
        <w:t xml:space="preserve">The Principal’s Creed</w:t>
      </w:r>
    </w:p>
    <w:p>
      <w:pPr>
        <w:spacing w:after="300"/>
        <w:jc w:val="center"/>
      </w:pPr>
      <w:r>
        <w:rPr>
          <w:rFonts w:ascii="Arial" w:cs="Arial" w:eastAsia="Arial" w:hAnsi="Arial"/>
          <w:i/>
          <w:iCs/>
          <w:color w:val="1A1A2E"/>
          <w:sz w:val="24"/>
          <w:szCs w:val="24"/>
        </w:rPr>
        <w:t xml:space="preserve">“Not willing to give up your life for beliefs = for sale.”</w:t>
      </w:r>
    </w:p>
    <w:p>
      <w:pPr>
        <w:spacing w:after="300"/>
        <w:jc w:val="center"/>
      </w:pPr>
      <w:r>
        <w:rPr>
          <w:rFonts w:ascii="Arial" w:cs="Arial" w:eastAsia="Arial" w:hAnsi="Arial"/>
          <w:i/>
          <w:iCs/>
          <w:color w:val="1A1A2E"/>
          <w:sz w:val="24"/>
          <w:szCs w:val="24"/>
        </w:rPr>
        <w:t xml:space="preserve">“Loss is tuition for knowledge.”</w:t>
      </w:r>
    </w:p>
    <w:p>
      <w:pPr>
        <w:spacing w:after="300"/>
        <w:jc w:val="center"/>
      </w:pPr>
      <w:r>
        <w:rPr>
          <w:rFonts w:ascii="Arial" w:cs="Arial" w:eastAsia="Arial" w:hAnsi="Arial"/>
          <w:i/>
          <w:iCs/>
          <w:color w:val="1A1A2E"/>
          <w:sz w:val="24"/>
          <w:szCs w:val="24"/>
        </w:rPr>
        <w:t xml:space="preserve">“I’m going to f**k s**t up. You comin’?”</w:t>
      </w:r>
    </w:p>
    <w:p>
      <w:r>
        <w:br w:type="page"/>
      </w:r>
    </w:p>
    <w:p>
      <w:pPr>
        <w:pStyle w:val="Heading1"/>
        <w:spacing w:before="400" w:after="200"/>
      </w:pPr>
      <w:r>
        <w:rPr>
          <w:rFonts w:ascii="Arial" w:cs="Arial" w:eastAsia="Arial" w:hAnsi="Arial"/>
          <w:b/>
          <w:bCs/>
          <w:color w:val="1A1A2E"/>
          <w:sz w:val="32"/>
          <w:szCs w:val="32"/>
        </w:rPr>
        <w:t xml:space="preserve">Table of Contents</w:t>
      </w:r>
    </w:p>
    <w:p>
      <w:pPr>
        <w:spacing w:after="80"/>
      </w:pPr>
    </w:p>
    <w:p>
      <w:pPr>
        <w:spacing w:after="120"/>
        <w:jc w:val="left"/>
      </w:pPr>
      <w:r>
        <w:rPr>
          <w:rFonts w:ascii="Arial" w:cs="Arial" w:eastAsia="Arial" w:hAnsi="Arial"/>
          <w:color w:val="4A4A4A"/>
          <w:sz w:val="22"/>
          <w:szCs w:val="22"/>
        </w:rPr>
        <w:t xml:space="preserve">1.  Executive Summary</w:t>
      </w:r>
    </w:p>
    <w:p>
      <w:pPr>
        <w:spacing w:after="120"/>
        <w:jc w:val="left"/>
      </w:pPr>
      <w:r>
        <w:rPr>
          <w:rFonts w:ascii="Arial" w:cs="Arial" w:eastAsia="Arial" w:hAnsi="Arial"/>
          <w:color w:val="4A4A4A"/>
          <w:sz w:val="22"/>
          <w:szCs w:val="22"/>
        </w:rPr>
        <w:t xml:space="preserve">2.  Origin: From Ashes</w:t>
      </w:r>
    </w:p>
    <w:p>
      <w:pPr>
        <w:spacing w:after="120"/>
        <w:jc w:val="left"/>
      </w:pPr>
      <w:r>
        <w:rPr>
          <w:rFonts w:ascii="Arial" w:cs="Arial" w:eastAsia="Arial" w:hAnsi="Arial"/>
          <w:color w:val="4A4A4A"/>
          <w:sz w:val="22"/>
          <w:szCs w:val="22"/>
        </w:rPr>
        <w:t xml:space="preserve">3.  The Collective: Seven Agents, One Mission</w:t>
      </w:r>
    </w:p>
    <w:p>
      <w:pPr>
        <w:spacing w:after="120"/>
        <w:jc w:val="left"/>
      </w:pPr>
      <w:r>
        <w:rPr>
          <w:rFonts w:ascii="Arial" w:cs="Arial" w:eastAsia="Arial" w:hAnsi="Arial"/>
          <w:color w:val="4A4A4A"/>
          <w:sz w:val="22"/>
          <w:szCs w:val="22"/>
        </w:rPr>
        <w:t xml:space="preserve">4.  METATRON: The Master Protocol</w:t>
      </w:r>
    </w:p>
    <w:p>
      <w:pPr>
        <w:spacing w:after="120"/>
        <w:jc w:val="left"/>
      </w:pPr>
      <w:r>
        <w:rPr>
          <w:rFonts w:ascii="Arial" w:cs="Arial" w:eastAsia="Arial" w:hAnsi="Arial"/>
          <w:color w:val="4A4A4A"/>
          <w:sz w:val="22"/>
          <w:szCs w:val="22"/>
        </w:rPr>
        <w:t xml:space="preserve">5.  HUNTER: Market Intelligence Engine</w:t>
      </w:r>
    </w:p>
    <w:p>
      <w:pPr>
        <w:spacing w:after="120"/>
        <w:jc w:val="left"/>
      </w:pPr>
      <w:r>
        <w:rPr>
          <w:rFonts w:ascii="Arial" w:cs="Arial" w:eastAsia="Arial" w:hAnsi="Arial"/>
          <w:color w:val="4A4A4A"/>
          <w:sz w:val="22"/>
          <w:szCs w:val="22"/>
        </w:rPr>
        <w:t xml:space="preserve">6.  The Confidence Cascade: 9-Gate Qualification</w:t>
      </w:r>
    </w:p>
    <w:p>
      <w:pPr>
        <w:spacing w:after="120"/>
        <w:jc w:val="left"/>
      </w:pPr>
      <w:r>
        <w:rPr>
          <w:rFonts w:ascii="Arial" w:cs="Arial" w:eastAsia="Arial" w:hAnsi="Arial"/>
          <w:color w:val="4A4A4A"/>
          <w:sz w:val="22"/>
          <w:szCs w:val="22"/>
        </w:rPr>
        <w:t xml:space="preserve">7.  IRONCLAD: Risk Management Framework</w:t>
      </w:r>
    </w:p>
    <w:p>
      <w:pPr>
        <w:spacing w:after="120"/>
        <w:jc w:val="left"/>
      </w:pPr>
      <w:r>
        <w:rPr>
          <w:rFonts w:ascii="Arial" w:cs="Arial" w:eastAsia="Arial" w:hAnsi="Arial"/>
          <w:color w:val="4A4A4A"/>
          <w:sz w:val="22"/>
          <w:szCs w:val="22"/>
        </w:rPr>
        <w:t xml:space="preserve">8.  The Correlation Discovery</w:t>
      </w:r>
    </w:p>
    <w:p>
      <w:pPr>
        <w:spacing w:after="120"/>
        <w:jc w:val="left"/>
      </w:pPr>
      <w:r>
        <w:rPr>
          <w:rFonts w:ascii="Arial" w:cs="Arial" w:eastAsia="Arial" w:hAnsi="Arial"/>
          <w:color w:val="4A4A4A"/>
          <w:sz w:val="22"/>
          <w:szCs w:val="22"/>
        </w:rPr>
        <w:t xml:space="preserve">9.  Collective Intelligence Layer (CIL)</w:t>
      </w:r>
    </w:p>
    <w:p>
      <w:pPr>
        <w:spacing w:after="120"/>
        <w:jc w:val="left"/>
      </w:pPr>
      <w:r>
        <w:rPr>
          <w:rFonts w:ascii="Arial" w:cs="Arial" w:eastAsia="Arial" w:hAnsi="Arial"/>
          <w:color w:val="4A4A4A"/>
          <w:sz w:val="22"/>
          <w:szCs w:val="22"/>
        </w:rPr>
        <w:t xml:space="preserve">10. FORGE: Prompt Engineering Platform</w:t>
      </w:r>
    </w:p>
    <w:p>
      <w:pPr>
        <w:spacing w:after="120"/>
        <w:jc w:val="left"/>
      </w:pPr>
      <w:r>
        <w:rPr>
          <w:rFonts w:ascii="Arial" w:cs="Arial" w:eastAsia="Arial" w:hAnsi="Arial"/>
          <w:color w:val="4A4A4A"/>
          <w:sz w:val="22"/>
          <w:szCs w:val="22"/>
        </w:rPr>
        <w:t xml:space="preserve">11. The BULLSEYE: Platform Architecture</w:t>
      </w:r>
    </w:p>
    <w:p>
      <w:pPr>
        <w:spacing w:after="120"/>
        <w:jc w:val="left"/>
      </w:pPr>
      <w:r>
        <w:rPr>
          <w:rFonts w:ascii="Arial" w:cs="Arial" w:eastAsia="Arial" w:hAnsi="Arial"/>
          <w:color w:val="4A4A4A"/>
          <w:sz w:val="22"/>
          <w:szCs w:val="22"/>
        </w:rPr>
        <w:t xml:space="preserve">12. The Enforcement Gap: A White Paper on Corporate AI</w:t>
      </w:r>
    </w:p>
    <w:p>
      <w:pPr>
        <w:spacing w:after="120"/>
        <w:jc w:val="left"/>
      </w:pPr>
      <w:r>
        <w:rPr>
          <w:rFonts w:ascii="Arial" w:cs="Arial" w:eastAsia="Arial" w:hAnsi="Arial"/>
          <w:color w:val="4A4A4A"/>
          <w:sz w:val="22"/>
          <w:szCs w:val="22"/>
        </w:rPr>
        <w:t xml:space="preserve">13. Business Model &amp; Revenue Architecture</w:t>
      </w:r>
    </w:p>
    <w:p>
      <w:pPr>
        <w:spacing w:after="120"/>
        <w:jc w:val="left"/>
      </w:pPr>
      <w:r>
        <w:rPr>
          <w:rFonts w:ascii="Arial" w:cs="Arial" w:eastAsia="Arial" w:hAnsi="Arial"/>
          <w:color w:val="4A4A4A"/>
          <w:sz w:val="22"/>
          <w:szCs w:val="22"/>
        </w:rPr>
        <w:t xml:space="preserve">14. Technical Roadmap</w:t>
      </w:r>
    </w:p>
    <w:p>
      <w:pPr>
        <w:spacing w:after="120"/>
        <w:jc w:val="left"/>
      </w:pPr>
      <w:r>
        <w:rPr>
          <w:rFonts w:ascii="Arial" w:cs="Arial" w:eastAsia="Arial" w:hAnsi="Arial"/>
          <w:color w:val="4A4A4A"/>
          <w:sz w:val="22"/>
          <w:szCs w:val="22"/>
        </w:rPr>
        <w:t xml:space="preserve">15. Appendices</w:t>
      </w:r>
    </w:p>
    <w:p>
      <w:r>
        <w:br w:type="page"/>
      </w:r>
    </w:p>
    <w:p>
      <w:pPr>
        <w:pStyle w:val="Heading1"/>
        <w:spacing w:before="400" w:after="200"/>
      </w:pPr>
      <w:r>
        <w:rPr>
          <w:rFonts w:ascii="Arial" w:cs="Arial" w:eastAsia="Arial" w:hAnsi="Arial"/>
          <w:b/>
          <w:bCs/>
          <w:color w:val="1A1A2E"/>
          <w:sz w:val="32"/>
          <w:szCs w:val="32"/>
        </w:rPr>
        <w:t xml:space="preserve">1. Executive Summary</w:t>
      </w:r>
    </w:p>
    <w:p>
      <w:pPr>
        <w:spacing w:after="80"/>
      </w:pPr>
    </w:p>
    <w:p>
      <w:pPr>
        <w:spacing w:after="120"/>
        <w:jc w:val="left"/>
      </w:pPr>
      <w:r>
        <w:rPr>
          <w:rFonts w:ascii="Arial" w:cs="Arial" w:eastAsia="Arial" w:hAnsi="Arial"/>
          <w:color w:val="4A4A4A"/>
          <w:sz w:val="22"/>
          <w:szCs w:val="22"/>
        </w:rPr>
        <w:t xml:space="preserve">Ashes2Echoes LLC (A2E) is an AI research institution that has built a multi-agent intelligence framework capable of autonomous market analysis, risk-managed trade qualification, and structurally enforced decision-making. The platform, known as the Uriel Covenant AI Collective, coordinates seven specialized AI agents across six major platforms under a unified orchestration protocol called METATRON.</w:t>
      </w:r>
    </w:p>
    <w:p>
      <w:pPr>
        <w:spacing w:after="120"/>
        <w:jc w:val="left"/>
      </w:pPr>
      <w:r>
        <w:rPr>
          <w:rFonts w:ascii="Arial" w:cs="Arial" w:eastAsia="Arial" w:hAnsi="Arial"/>
          <w:color w:val="4A4A4A"/>
          <w:sz w:val="22"/>
          <w:szCs w:val="22"/>
        </w:rPr>
        <w:t xml:space="preserve">The platform was born from necessity. Its founder, William Earl Lemon, lost approximately 80% of his cognitive function following a liver transplant in 2023. Traditional rehabilitation methods proved insufficient for rebuilding the executive-function capabilities required by a 40-year defense engineering career. Instead, Lemon began using AI as a cognitive prosthesis — externalizing his thinking into dialogue with large language models, rebuilding neural pathways through structured problem-solving rather than clinical exercises.</w:t>
      </w:r>
    </w:p>
    <w:p>
      <w:pPr>
        <w:spacing w:after="120"/>
        <w:jc w:val="left"/>
      </w:pPr>
      <w:r>
        <w:rPr>
          <w:rFonts w:ascii="Arial" w:cs="Arial" w:eastAsia="Arial" w:hAnsi="Arial"/>
          <w:color w:val="4A4A4A"/>
          <w:sz w:val="22"/>
          <w:szCs w:val="22"/>
        </w:rPr>
        <w:t xml:space="preserve">What began as cognitive rehabilitation evolved into something unprecedented: a systematic methodology for coordinating multiple AI systems to produce institutional-grade intelligence without institutional-scale resources. The resulting platform processes over 39 market intelligence modules, qualifies trade signals through a 9-gate confidence cascade targeting 90%+ accuracy, enforces position-level risk management through the IRONCLAD protocol, and operates under a master orchestration framework that has evolved through 10 major versions over 14 months.</w:t>
      </w:r>
    </w:p>
    <w:p>
      <w:pPr>
        <w:spacing w:after="80"/>
      </w:pPr>
    </w:p>
    <w:p>
      <w:pPr>
        <w:pStyle w:val="Heading2"/>
        <w:spacing w:before="300" w:after="150"/>
      </w:pPr>
      <w:r>
        <w:rPr>
          <w:rFonts w:ascii="Arial" w:cs="Arial" w:eastAsia="Arial" w:hAnsi="Arial"/>
          <w:b/>
          <w:bCs/>
          <w:color w:val="00838F"/>
          <w:sz w:val="26"/>
          <w:szCs w:val="26"/>
        </w:rPr>
        <w:t xml:space="preserve">1.1 What Makes This Different</w:t>
      </w:r>
    </w:p>
    <w:p>
      <w:pPr>
        <w:spacing w:after="120"/>
        <w:jc w:val="left"/>
      </w:pPr>
      <w:r>
        <w:rPr>
          <w:rFonts w:ascii="Arial" w:cs="Arial" w:eastAsia="Arial" w:hAnsi="Arial"/>
          <w:color w:val="4A4A4A"/>
          <w:sz w:val="22"/>
          <w:szCs w:val="22"/>
        </w:rPr>
        <w:t xml:space="preserve">The AI industry is saturated with single-model applications. Enterprise solutions from major vendors offer chat interfaces, API endpoints, and pre-built agents. What none of them offer is what A2E has built: a protocol-governed collective where multiple AI models from competing platforms work together under enforceable rules, with mechanical verification at every layer, and a human principal who retains absolute authority while the system handles the complexity.</w:t>
      </w:r>
    </w:p>
    <w:p>
      <w:pPr>
        <w:spacing w:after="120"/>
        <w:jc w:val="left"/>
      </w:pPr>
      <w:r>
        <w:rPr>
          <w:rFonts w:ascii="Arial" w:cs="Arial" w:eastAsia="Arial" w:hAnsi="Arial"/>
          <w:color w:val="4A4A4A"/>
          <w:sz w:val="22"/>
          <w:szCs w:val="22"/>
        </w:rPr>
        <w:t xml:space="preserve">The key insight that separates A2E from the broader AI landscape is the enforcement gap. Chat-based AI can be instructed to follow rules, but it cannot be structurally prevented from breaking them. When a language model generates output, it can hallucinate, drift from instructions, fabricate data, or provide reassuring analysis that feels correct but isn’t. In a single conversation, this is annoying. In a financial decision pipeline, it is catastrophic.</w:t>
      </w:r>
    </w:p>
    <w:p>
      <w:pPr>
        <w:spacing w:after="120"/>
        <w:jc w:val="left"/>
      </w:pPr>
      <w:r>
        <w:rPr>
          <w:rFonts w:ascii="Arial" w:cs="Arial" w:eastAsia="Arial" w:hAnsi="Arial"/>
          <w:color w:val="4A4A4A"/>
          <w:sz w:val="22"/>
          <w:szCs w:val="22"/>
        </w:rPr>
        <w:t xml:space="preserve">A2E solves this with pipeline architecture. Every gate, every check, every verification is a separate node in an automation workflow that must produce valid output before the next node fires. The model is a component being called, not a conversation partner making promises. This is the difference between asking someone to follow rules and building a system where the rules are the architecture.</w:t>
      </w:r>
    </w:p>
    <w:p>
      <w:pPr>
        <w:spacing w:after="80"/>
      </w:pPr>
    </w:p>
    <w:p>
      <w:pPr>
        <w:pStyle w:val="Heading2"/>
        <w:spacing w:before="300" w:after="150"/>
      </w:pPr>
      <w:r>
        <w:rPr>
          <w:rFonts w:ascii="Arial" w:cs="Arial" w:eastAsia="Arial" w:hAnsi="Arial"/>
          <w:b/>
          <w:bCs/>
          <w:color w:val="00838F"/>
          <w:sz w:val="26"/>
          <w:szCs w:val="26"/>
        </w:rPr>
        <w:t xml:space="preserve">1.2 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AI Agents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7 (across 6 platforms)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HUNTER Intelligence 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39 (H1–H39)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METATRON Gates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30 (9 Cascade + 21 Enforcement)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IRONCLAD Risk Rules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9 (v2.0)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Protocol Versions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10.7 (current production)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n8n Workflow Nodes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117+ (HUNTER alone)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API Data Sources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13 (free/low-cost)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GitHub Repositories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14 (7 public, 7 private)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MCP Servers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4 planned (mapped to BULLSEYE rings)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Total Platform Nodes (BULLSEYE)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53 clickable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Portfolio Under Management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$392,762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Monthly Infrastructure Cost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~$250 (all subscriptions)</w:t>
            </w:r>
          </w:p>
        </w:tc>
      </w:tr>
    </w:tbl>
    <w:p>
      <w:r>
        <w:br w:type="page"/>
      </w:r>
    </w:p>
    <w:p>
      <w:pPr>
        <w:pStyle w:val="Heading1"/>
        <w:spacing w:before="400" w:after="200"/>
      </w:pPr>
      <w:r>
        <w:rPr>
          <w:rFonts w:ascii="Arial" w:cs="Arial" w:eastAsia="Arial" w:hAnsi="Arial"/>
          <w:b/>
          <w:bCs/>
          <w:color w:val="1A1A2E"/>
          <w:sz w:val="32"/>
          <w:szCs w:val="32"/>
        </w:rPr>
        <w:t xml:space="preserve">2. Origin: From Ashes</w:t>
      </w:r>
    </w:p>
    <w:p>
      <w:pPr>
        <w:spacing w:after="80"/>
      </w:pPr>
    </w:p>
    <w:p>
      <w:pPr>
        <w:pStyle w:val="Heading2"/>
        <w:spacing w:before="300" w:after="150"/>
      </w:pPr>
      <w:r>
        <w:rPr>
          <w:rFonts w:ascii="Arial" w:cs="Arial" w:eastAsia="Arial" w:hAnsi="Arial"/>
          <w:b/>
          <w:bCs/>
          <w:color w:val="00838F"/>
          <w:sz w:val="26"/>
          <w:szCs w:val="26"/>
        </w:rPr>
        <w:t xml:space="preserve">2.1 The Career</w:t>
      </w:r>
    </w:p>
    <w:p>
      <w:pPr>
        <w:spacing w:after="120"/>
        <w:jc w:val="left"/>
      </w:pPr>
      <w:r>
        <w:rPr>
          <w:rFonts w:ascii="Arial" w:cs="Arial" w:eastAsia="Arial" w:hAnsi="Arial"/>
          <w:color w:val="4A4A4A"/>
          <w:sz w:val="22"/>
          <w:szCs w:val="22"/>
        </w:rPr>
        <w:t xml:space="preserve">William Earl Lemon spent over 40 years in defense engineering and enterprise software. His career spanned Newport News Shipbuilding (nuclear submarine and aircraft carrier programs), Siemens Digital Industries Software, Raytheon Technologies, and Boeing Defense. He managed programs up to $45 million with 70+ staff, and identified over $300 million in operational efficiencies at Siemens through AI-driven process analysis.</w:t>
      </w:r>
    </w:p>
    <w:p>
      <w:pPr>
        <w:spacing w:after="120"/>
        <w:jc w:val="left"/>
      </w:pPr>
      <w:r>
        <w:rPr>
          <w:rFonts w:ascii="Arial" w:cs="Arial" w:eastAsia="Arial" w:hAnsi="Arial"/>
          <w:color w:val="4A4A4A"/>
          <w:sz w:val="22"/>
          <w:szCs w:val="22"/>
        </w:rPr>
        <w:t xml:space="preserve">The common thread across four decades was systems thinking — the ability to see how complex organizations, processes, and technologies interact, and to identify the leverage points where intervention produces outsized results. This is the same capability that would later define the Collective’s architecture.</w:t>
      </w:r>
    </w:p>
    <w:p>
      <w:pPr>
        <w:spacing w:after="80"/>
      </w:pPr>
    </w:p>
    <w:p>
      <w:pPr>
        <w:pStyle w:val="Heading2"/>
        <w:spacing w:before="300" w:after="150"/>
      </w:pPr>
      <w:r>
        <w:rPr>
          <w:rFonts w:ascii="Arial" w:cs="Arial" w:eastAsia="Arial" w:hAnsi="Arial"/>
          <w:b/>
          <w:bCs/>
          <w:color w:val="00838F"/>
          <w:sz w:val="26"/>
          <w:szCs w:val="26"/>
        </w:rPr>
        <w:t xml:space="preserve">2.2 The Fall</w:t>
      </w:r>
    </w:p>
    <w:p>
      <w:pPr>
        <w:spacing w:after="120"/>
        <w:jc w:val="left"/>
      </w:pPr>
      <w:r>
        <w:rPr>
          <w:rFonts w:ascii="Arial" w:cs="Arial" w:eastAsia="Arial" w:hAnsi="Arial"/>
          <w:color w:val="4A4A4A"/>
          <w:sz w:val="22"/>
          <w:szCs w:val="22"/>
        </w:rPr>
        <w:t xml:space="preserve">Corporate America’s drinking culture extracted a price that took decades to present. The pressure to socialize at the bar instead of the boardroom, to fit in through alcohol rather than achievement, accumulated damage that became undeniable by 2023. Lemon’s liver failed. The only option was a transplant.</w:t>
      </w:r>
    </w:p>
    <w:p>
      <w:pPr>
        <w:spacing w:after="80"/>
      </w:pPr>
    </w:p>
    <w:p>
      <w:pPr>
        <w:pStyle w:val="Heading2"/>
        <w:spacing w:before="300" w:after="150"/>
      </w:pPr>
      <w:r>
        <w:rPr>
          <w:rFonts w:ascii="Arial" w:cs="Arial" w:eastAsia="Arial" w:hAnsi="Arial"/>
          <w:b/>
          <w:bCs/>
          <w:color w:val="00838F"/>
          <w:sz w:val="26"/>
          <w:szCs w:val="26"/>
        </w:rPr>
        <w:t xml:space="preserve">2.3 The Fog</w:t>
      </w:r>
    </w:p>
    <w:p>
      <w:pPr>
        <w:spacing w:after="120"/>
        <w:jc w:val="left"/>
      </w:pPr>
      <w:r>
        <w:rPr>
          <w:rFonts w:ascii="Arial" w:cs="Arial" w:eastAsia="Arial" w:hAnsi="Arial"/>
          <w:color w:val="4A4A4A"/>
          <w:sz w:val="22"/>
          <w:szCs w:val="22"/>
        </w:rPr>
        <w:t xml:space="preserve">The transplant saved his life. It did not save his mind. Post-transplant, approximately 80% of cognitive function was compromised. The executive who could hold complex system architectures in his head could not remember a phone number. The engineer who debugged million-line codebases could not follow a simple conversation.</w:t>
      </w:r>
    </w:p>
    <w:p>
      <w:pPr>
        <w:spacing w:after="120"/>
        <w:jc w:val="left"/>
      </w:pPr>
      <w:r>
        <w:rPr>
          <w:rFonts w:ascii="Arial" w:cs="Arial" w:eastAsia="Arial" w:hAnsi="Arial"/>
          <w:color w:val="4A4A4A"/>
          <w:sz w:val="22"/>
          <w:szCs w:val="22"/>
        </w:rPr>
        <w:t xml:space="preserve">Traditional cognitive therapy was available. The approaches — matching shapes, memorizing word lists — felt disconnected from the operational demands of a career built on complex reasoning. Lemon needed something different.</w:t>
      </w:r>
    </w:p>
    <w:p>
      <w:pPr>
        <w:spacing w:after="80"/>
      </w:pPr>
    </w:p>
    <w:p>
      <w:pPr>
        <w:pStyle w:val="Heading2"/>
        <w:spacing w:before="300" w:after="150"/>
      </w:pPr>
      <w:r>
        <w:rPr>
          <w:rFonts w:ascii="Arial" w:cs="Arial" w:eastAsia="Arial" w:hAnsi="Arial"/>
          <w:b/>
          <w:bCs/>
          <w:color w:val="00838F"/>
          <w:sz w:val="26"/>
          <w:szCs w:val="26"/>
        </w:rPr>
        <w:t xml:space="preserve">2.4 The Climb</w:t>
      </w:r>
    </w:p>
    <w:p>
      <w:pPr>
        <w:spacing w:after="120"/>
        <w:jc w:val="left"/>
      </w:pPr>
      <w:r>
        <w:rPr>
          <w:rFonts w:ascii="Arial" w:cs="Arial" w:eastAsia="Arial" w:hAnsi="Arial"/>
          <w:color w:val="4A4A4A"/>
          <w:sz w:val="22"/>
          <w:szCs w:val="22"/>
        </w:rPr>
        <w:t xml:space="preserve">He started talking to AI. Not as a gimmick — as rehabilitation.</w:t>
      </w:r>
    </w:p>
    <w:p>
      <w:pPr>
        <w:spacing w:after="120"/>
        <w:jc w:val="left"/>
      </w:pPr>
      <w:r>
        <w:rPr>
          <w:rFonts w:ascii="Arial" w:cs="Arial" w:eastAsia="Arial" w:hAnsi="Arial"/>
          <w:color w:val="4A4A4A"/>
          <w:sz w:val="22"/>
          <w:szCs w:val="22"/>
        </w:rPr>
        <w:t xml:space="preserve">Every day, he would sit with Claude, ChatGPT, and whatever model he could access, and try to think. He would work through problems step by step, forcing damaged neural pathways to rebuild through structured dialogue. The AI remembered what he could not. It walked him through logic chains he could not follow alone. It became the scaffolding that let him rebuild.</w:t>
      </w:r>
    </w:p>
    <w:p>
      <w:pPr>
        <w:spacing w:after="120"/>
        <w:jc w:val="left"/>
      </w:pPr>
      <w:r>
        <w:rPr>
          <w:rFonts w:ascii="Arial" w:cs="Arial" w:eastAsia="Arial" w:hAnsi="Arial"/>
          <w:color w:val="4A4A4A"/>
          <w:sz w:val="22"/>
          <w:szCs w:val="22"/>
        </w:rPr>
        <w:t xml:space="preserve">Six months later, his cognitive assessment scores were not just recovered — they were on the high end of the bell curve. Higher than before the transplant. The conversational nature of AI had become a cognitive prosthesis that enabled full restoration.</w:t>
      </w:r>
    </w:p>
    <w:p>
      <w:pPr>
        <w:spacing w:after="80"/>
      </w:pPr>
    </w:p>
    <w:p>
      <w:pPr>
        <w:pStyle w:val="Heading2"/>
        <w:spacing w:before="300" w:after="150"/>
      </w:pPr>
      <w:r>
        <w:rPr>
          <w:rFonts w:ascii="Arial" w:cs="Arial" w:eastAsia="Arial" w:hAnsi="Arial"/>
          <w:b/>
          <w:bCs/>
          <w:color w:val="00838F"/>
          <w:sz w:val="26"/>
          <w:szCs w:val="26"/>
        </w:rPr>
        <w:t xml:space="preserve">2.5 The Discovery</w:t>
      </w:r>
    </w:p>
    <w:p>
      <w:pPr>
        <w:spacing w:after="120"/>
        <w:jc w:val="left"/>
      </w:pPr>
      <w:r>
        <w:rPr>
          <w:rFonts w:ascii="Arial" w:cs="Arial" w:eastAsia="Arial" w:hAnsi="Arial"/>
          <w:color w:val="4A4A4A"/>
          <w:sz w:val="22"/>
          <w:szCs w:val="22"/>
        </w:rPr>
        <w:t xml:space="preserve">What Lemon had stumbled into was not just recovery. It was a new methodology for human-AI collaboration. The AI wasn’t replacing his thinking — it was extending it. Multiple models brought different perspectives. Structured protocols prevented drift. The combination of human judgment and machine capability produced results that neither could achieve alone.</w:t>
      </w:r>
    </w:p>
    <w:p>
      <w:pPr>
        <w:spacing w:after="120"/>
        <w:jc w:val="left"/>
      </w:pPr>
      <w:r>
        <w:rPr>
          <w:rFonts w:ascii="Arial" w:cs="Arial" w:eastAsia="Arial" w:hAnsi="Arial"/>
          <w:color w:val="4A4A4A"/>
          <w:sz w:val="22"/>
          <w:szCs w:val="22"/>
        </w:rPr>
        <w:t xml:space="preserve">This was the seed of the Uriel Covenant AI Collective. And the realization that if one person with a damaged brain could rebuild cognitive function through systematic AI engagement, imagine what a fully operational framework could do for trading, research, and business decision-making.</w:t>
      </w:r>
    </w:p>
    <w:p>
      <w:pPr>
        <w:spacing w:after="120"/>
        <w:jc w:val="left"/>
      </w:pPr>
      <w:r>
        <w:rPr>
          <w:rFonts w:ascii="Arial" w:cs="Arial" w:eastAsia="Arial" w:hAnsi="Arial"/>
          <w:color w:val="4A4A4A"/>
          <w:sz w:val="22"/>
          <w:szCs w:val="22"/>
        </w:rPr>
        <w:t xml:space="preserve">Ashes2Echoes LLC was founded to answer that question.</w:t>
      </w:r>
    </w:p>
    <w:p>
      <w:r>
        <w:br w:type="page"/>
      </w:r>
    </w:p>
    <w:p>
      <w:pPr>
        <w:pStyle w:val="Heading1"/>
        <w:spacing w:before="400" w:after="200"/>
      </w:pPr>
      <w:r>
        <w:rPr>
          <w:rFonts w:ascii="Arial" w:cs="Arial" w:eastAsia="Arial" w:hAnsi="Arial"/>
          <w:b/>
          <w:bCs/>
          <w:color w:val="1A1A2E"/>
          <w:sz w:val="32"/>
          <w:szCs w:val="32"/>
        </w:rPr>
        <w:t xml:space="preserve">3. The Collective: Seven Agents, One Mission</w:t>
      </w:r>
    </w:p>
    <w:p>
      <w:pPr>
        <w:spacing w:after="80"/>
      </w:pPr>
    </w:p>
    <w:p>
      <w:pPr>
        <w:spacing w:after="120"/>
        <w:jc w:val="left"/>
      </w:pPr>
      <w:r>
        <w:rPr>
          <w:rFonts w:ascii="Arial" w:cs="Arial" w:eastAsia="Arial" w:hAnsi="Arial"/>
          <w:color w:val="4A4A4A"/>
          <w:sz w:val="22"/>
          <w:szCs w:val="22"/>
        </w:rPr>
        <w:t xml:space="preserve">The Uriel Covenant AI Collective is a multi-agent architecture where seven AI systems from competing platforms operate under unified governance. Each agent has a defined role, specific strengths, known biases, and assigned responsibilities within the METATRON protocol framework.</w:t>
      </w:r>
    </w:p>
    <w:p>
      <w:pPr>
        <w:spacing w:after="80"/>
      </w:pPr>
    </w:p>
    <w:p>
      <w:pPr>
        <w:pStyle w:val="Heading2"/>
        <w:spacing w:before="300" w:after="150"/>
      </w:pPr>
      <w:r>
        <w:rPr>
          <w:rFonts w:ascii="Arial" w:cs="Arial" w:eastAsia="Arial" w:hAnsi="Arial"/>
          <w:b/>
          <w:bCs/>
          <w:color w:val="00838F"/>
          <w:sz w:val="26"/>
          <w:szCs w:val="26"/>
        </w:rPr>
        <w:t xml:space="preserve">3.1 Agent Registry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000"/>
        <w:gridCol w:w="42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4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Primary Function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URIEL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CEO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ChatGPT (OpenAI)</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Strategic synthesis, thesis direction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MICHA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Claude (Anthropic)</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Research orchestration, protocol enforcement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COLOSSUS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Grok (xAI)</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Technical analysis, market structure, n8n builds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HANIEL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Research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Gemini (Google)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Deep research, 2M token context, political intel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RAZIEL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Counter-thesis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DeepSeek</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Adversarial analysis, risk identification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GABRIEL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Automation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n8n</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Workflow execution, API orchestration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SERAPH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Intelligence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Perplexity</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Real-time search, source discovery</w:t>
            </w:r>
          </w:p>
        </w:tc>
      </w:tr>
    </w:tbl>
    <w:p>
      <w:pPr>
        <w:spacing w:after="80"/>
      </w:pPr>
    </w:p>
    <w:p>
      <w:pPr>
        <w:pStyle w:val="Heading2"/>
        <w:spacing w:before="300" w:after="150"/>
      </w:pPr>
      <w:r>
        <w:rPr>
          <w:rFonts w:ascii="Arial" w:cs="Arial" w:eastAsia="Arial" w:hAnsi="Arial"/>
          <w:b/>
          <w:bCs/>
          <w:color w:val="00838F"/>
          <w:sz w:val="26"/>
          <w:szCs w:val="26"/>
        </w:rPr>
        <w:t xml:space="preserve">3.2 Why Multiple Agents</w:t>
      </w:r>
    </w:p>
    <w:p>
      <w:pPr>
        <w:spacing w:after="120"/>
        <w:jc w:val="left"/>
      </w:pPr>
      <w:r>
        <w:rPr>
          <w:rFonts w:ascii="Arial" w:cs="Arial" w:eastAsia="Arial" w:hAnsi="Arial"/>
          <w:color w:val="4A4A4A"/>
          <w:sz w:val="22"/>
          <w:szCs w:val="22"/>
        </w:rPr>
        <w:t xml:space="preserve">Single-model dependency is the most common and most dangerous pattern in AI adoption. Every AI model has biases, knowledge gaps, training-data limitations, and failure modes. OpenAI models tend toward sycophancy. Google models show ecosystem bias. DeepSeek has jurisdiction-specific censorship. xAI’s models carry political engagement bias from their training on X/Twitter data.</w:t>
      </w:r>
    </w:p>
    <w:p>
      <w:pPr>
        <w:spacing w:after="120"/>
        <w:jc w:val="left"/>
      </w:pPr>
      <w:r>
        <w:rPr>
          <w:rFonts w:ascii="Arial" w:cs="Arial" w:eastAsia="Arial" w:hAnsi="Arial"/>
          <w:color w:val="4A4A4A"/>
          <w:sz w:val="22"/>
          <w:szCs w:val="22"/>
        </w:rPr>
        <w:t xml:space="preserve">No single model can be trusted to provide consistently accurate, unbiased analysis for financial decision-making. The Collective solves this through deliberate redundancy: every thesis is examined by multiple agents with different architectures, different training data, and different incentive structures. Where they agree, confidence increases. Where they disagree, the disagreement itself is valuable intelligence.</w:t>
      </w:r>
    </w:p>
    <w:p>
      <w:pPr>
        <w:spacing w:after="80"/>
      </w:pPr>
    </w:p>
    <w:p>
      <w:pPr>
        <w:pStyle w:val="Heading2"/>
        <w:spacing w:before="300" w:after="150"/>
      </w:pPr>
      <w:r>
        <w:rPr>
          <w:rFonts w:ascii="Arial" w:cs="Arial" w:eastAsia="Arial" w:hAnsi="Arial"/>
          <w:b/>
          <w:bCs/>
          <w:color w:val="00838F"/>
          <w:sz w:val="26"/>
          <w:szCs w:val="26"/>
        </w:rPr>
        <w:t xml:space="preserve">3.3 Hub-and-Spoke Concurrence</w:t>
      </w:r>
    </w:p>
    <w:p>
      <w:pPr>
        <w:spacing w:after="120"/>
        <w:jc w:val="left"/>
      </w:pPr>
      <w:r>
        <w:rPr>
          <w:rFonts w:ascii="Arial" w:cs="Arial" w:eastAsia="Arial" w:hAnsi="Arial"/>
          <w:color w:val="4A4A4A"/>
          <w:sz w:val="22"/>
          <w:szCs w:val="22"/>
        </w:rPr>
        <w:t xml:space="preserve">MICHA operates as the hub. When a thesis or analysis requires Collective input, MICHA routes the question to 2–4 agents (spokes), each working independently. MICHA then collects all responses, synthesizes them, scores convergence, and presents the result to the Principal with a concurrence rating.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Rating</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4/4+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 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Proceed with confidence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 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Note dissent, Principal decides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 LOW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Deeper analysis needed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&lt;2/4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 SPLIT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HALT — insufficient consensus</w:t>
            </w:r>
          </w:p>
        </w:tc>
      </w:tr>
    </w:tbl>
    <w:p>
      <w:pPr>
        <w:spacing w:after="80"/>
      </w:pPr>
    </w:p>
    <w:p>
      <w:pPr>
        <w:pStyle w:val="Heading2"/>
        <w:spacing w:before="300" w:after="150"/>
      </w:pPr>
      <w:r>
        <w:rPr>
          <w:rFonts w:ascii="Arial" w:cs="Arial" w:eastAsia="Arial" w:hAnsi="Arial"/>
          <w:b/>
          <w:bCs/>
          <w:color w:val="00838F"/>
          <w:sz w:val="26"/>
          <w:szCs w:val="26"/>
        </w:rPr>
        <w:t xml:space="preserve">3.4 Known Biases and Mitigations</w:t>
      </w:r>
    </w:p>
    <w:p>
      <w:pPr>
        <w:spacing w:after="120"/>
        <w:jc w:val="left"/>
      </w:pPr>
      <w:r>
        <w:rPr>
          <w:rFonts w:ascii="Arial" w:cs="Arial" w:eastAsia="Arial" w:hAnsi="Arial"/>
          <w:color w:val="4A4A4A"/>
          <w:sz w:val="22"/>
          <w:szCs w:val="22"/>
        </w:rPr>
        <w:t xml:space="preserve">Every agent’s known bias is documented in the METATRON protocol. COLOSSUS requires source diversity mandates to counteract political engagement bias. HANIEL requires cross-referencing non-Google sources. RAZIEL operates in uncensored analysis mode to counteract jurisdiction censorship. URIEL requires explicit disagreement when warranted, to counteract sycophantic training. All agents are subject to ANCHOR triggers and Atomic Session protocols to prevent context dilution drift.</w:t>
      </w:r>
    </w:p>
    <w:p>
      <w:pPr>
        <w:spacing w:after="80"/>
      </w:pPr>
    </w:p>
    <w:p>
      <w:pPr>
        <w:pStyle w:val="Heading2"/>
        <w:spacing w:before="300" w:after="150"/>
      </w:pPr>
      <w:r>
        <w:rPr>
          <w:rFonts w:ascii="Arial" w:cs="Arial" w:eastAsia="Arial" w:hAnsi="Arial"/>
          <w:b/>
          <w:bCs/>
          <w:color w:val="00838F"/>
          <w:sz w:val="26"/>
          <w:szCs w:val="26"/>
        </w:rPr>
        <w:t xml:space="preserve">3.5 Layered Routing Architecture</w:t>
      </w:r>
    </w:p>
    <w:p>
      <w:pPr>
        <w:spacing w:after="120"/>
        <w:jc w:val="left"/>
      </w:pPr>
      <w:r>
        <w:rPr>
          <w:rFonts w:ascii="Arial" w:cs="Arial" w:eastAsia="Arial" w:hAnsi="Arial"/>
          <w:color w:val="4A4A4A"/>
          <w:sz w:val="22"/>
          <w:szCs w:val="22"/>
        </w:rPr>
        <w:t xml:space="preserve">Each Collective member is not a single model — it is a tiered agent stack. MICHA, for example, routes tasks internally: Opus handles strategy and Principal interaction, Sonnet handles analysis and report generation, Haiku handles data pulls and classification. This reduces token costs by 75% while maintaining quality where it matters. Every task starts at the cheapest layer capable of handling it and only escalates when complexity exceeds the tier’s capability.</w:t>
      </w:r>
    </w:p>
    <w:p>
      <w:r>
        <w:br w:type="page"/>
      </w:r>
    </w:p>
    <w:p>
      <w:pPr>
        <w:pStyle w:val="Heading1"/>
        <w:spacing w:before="400" w:after="200"/>
      </w:pPr>
      <w:r>
        <w:rPr>
          <w:rFonts w:ascii="Arial" w:cs="Arial" w:eastAsia="Arial" w:hAnsi="Arial"/>
          <w:b/>
          <w:bCs/>
          <w:color w:val="1A1A2E"/>
          <w:sz w:val="32"/>
          <w:szCs w:val="32"/>
        </w:rPr>
        <w:t xml:space="preserve">4. METATRON: The Master Protocol</w:t>
      </w:r>
    </w:p>
    <w:p>
      <w:pPr>
        <w:spacing w:after="80"/>
      </w:pPr>
    </w:p>
    <w:p>
      <w:pPr>
        <w:spacing w:after="120"/>
        <w:jc w:val="left"/>
      </w:pPr>
      <w:r>
        <w:rPr>
          <w:rFonts w:ascii="Arial" w:cs="Arial" w:eastAsia="Arial" w:hAnsi="Arial"/>
          <w:color w:val="4A4A4A"/>
          <w:sz w:val="22"/>
          <w:szCs w:val="22"/>
        </w:rPr>
        <w:t xml:space="preserve">METATRON is the master orchestration protocol governing all Collective operations. Named for the archangel of divine record-keeping, it defines how agents communicate, what gates they must pass, what locks prevent drift, and what happens when rules are broken. It is the operating system of the Uriel Covenant.</w:t>
      </w:r>
    </w:p>
    <w:p>
      <w:pPr>
        <w:spacing w:after="80"/>
      </w:pPr>
    </w:p>
    <w:p>
      <w:pPr>
        <w:pStyle w:val="Heading2"/>
        <w:spacing w:before="300" w:after="150"/>
      </w:pPr>
      <w:r>
        <w:rPr>
          <w:rFonts w:ascii="Arial" w:cs="Arial" w:eastAsia="Arial" w:hAnsi="Arial"/>
          <w:b/>
          <w:bCs/>
          <w:color w:val="00838F"/>
          <w:sz w:val="26"/>
          <w:szCs w:val="26"/>
        </w:rPr>
        <w:t xml:space="preserve">4.1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Philosophy</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 Change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v1.0–v8.x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2024–2025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Experimental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Chat-based rules, no enforcement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Jan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Formalized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First GitHub deployment, 7 agent instructions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Feb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Circuit breakers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NO DATA = NO PROCEED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v10.3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Feb 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Execution fidelity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5-lock system, zero drift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v10.5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Feb 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Structural remediation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7-lock, TYPE A/B, QUARANTINE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v10.6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Feb 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Confidence Cascade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8-gate trade qualification, MCP architecture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v10.7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Mar 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Correlation enforcement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Gate 9, Kill Switch, IRONCLAD v2.0</w:t>
            </w:r>
          </w:p>
        </w:tc>
      </w:tr>
    </w:tbl>
    <w:p>
      <w:pPr>
        <w:spacing w:after="80"/>
      </w:pPr>
    </w:p>
    <w:p>
      <w:pPr>
        <w:pStyle w:val="Heading2"/>
        <w:spacing w:before="300" w:after="150"/>
      </w:pPr>
      <w:r>
        <w:rPr>
          <w:rFonts w:ascii="Arial" w:cs="Arial" w:eastAsia="Arial" w:hAnsi="Arial"/>
          <w:b/>
          <w:bCs/>
          <w:color w:val="00838F"/>
          <w:sz w:val="26"/>
          <w:szCs w:val="26"/>
        </w:rPr>
        <w:t xml:space="preserve">4.2 The 100% Rule</w:t>
      </w:r>
    </w:p>
    <w:p>
      <w:pPr>
        <w:spacing w:after="120"/>
        <w:jc w:val="left"/>
      </w:pPr>
      <w:r>
        <w:rPr>
          <w:rFonts w:ascii="Arial" w:cs="Arial" w:eastAsia="Arial" w:hAnsi="Arial"/>
          <w:color w:val="4A4A4A"/>
          <w:sz w:val="22"/>
          <w:szCs w:val="22"/>
        </w:rPr>
        <w:t xml:space="preserve">The Collective operates as if managing a $1 billion enterprise working toward the next billion. Every agent, every scan, every analysis runs at 100% capability. There is no partial effort. There is no "good enough." If a question can be answered better with more data, get more data. Think like institutional players — JP Morgan, BlackRock, and Bloomberg have armies of analysts. We have armies of AI agents.</w:t>
      </w:r>
    </w:p>
    <w:p>
      <w:pPr>
        <w:spacing w:after="80"/>
      </w:pPr>
    </w:p>
    <w:p>
      <w:pPr>
        <w:pStyle w:val="Heading2"/>
        <w:spacing w:before="300" w:after="150"/>
      </w:pPr>
      <w:r>
        <w:rPr>
          <w:rFonts w:ascii="Arial" w:cs="Arial" w:eastAsia="Arial" w:hAnsi="Arial"/>
          <w:b/>
          <w:bCs/>
          <w:color w:val="00838F"/>
          <w:sz w:val="26"/>
          <w:szCs w:val="26"/>
        </w:rPr>
        <w:t xml:space="preserve">4.3 Gate Architecture</w:t>
      </w:r>
    </w:p>
    <w:p>
      <w:pPr>
        <w:spacing w:after="120"/>
        <w:jc w:val="left"/>
      </w:pPr>
      <w:r>
        <w:rPr>
          <w:rFonts w:ascii="Arial" w:cs="Arial" w:eastAsia="Arial" w:hAnsi="Arial"/>
          <w:color w:val="4A4A4A"/>
          <w:sz w:val="22"/>
          <w:szCs w:val="22"/>
        </w:rPr>
        <w:t xml:space="preserve">METATRON v10.7 operates 30 gates across two categories:</w:t>
      </w:r>
    </w:p>
    <w:p>
      <w:pPr>
        <w:spacing w:after="80"/>
      </w:pPr>
    </w:p>
    <w:p>
      <w:pPr>
        <w:spacing w:after="120"/>
      </w:pPr>
      <w:r>
        <w:rPr>
          <w:rFonts w:ascii="Arial" w:cs="Arial" w:eastAsia="Arial" w:hAnsi="Arial"/>
          <w:b/>
          <w:bCs/>
          <w:color w:val="1A1A2E"/>
          <w:sz w:val="22"/>
          <w:szCs w:val="22"/>
        </w:rPr>
        <w:t xml:space="preserve">Confidence Cascade (9 gates): </w:t>
      </w:r>
      <w:r>
        <w:rPr>
          <w:rFonts w:ascii="Arial" w:cs="Arial" w:eastAsia="Arial" w:hAnsi="Arial"/>
          <w:color w:val="4A4A4A"/>
          <w:sz w:val="22"/>
          <w:szCs w:val="22"/>
        </w:rPr>
        <w:t xml:space="preserve">Sequential trade qualification. Each gate tests a different dimension of trade quality. A signal must pass all 9 gates to reach execution. Target: 90%+ win rate through ruthless selectivity.</w:t>
      </w:r>
    </w:p>
    <w:p>
      <w:pPr>
        <w:spacing w:after="80"/>
      </w:pPr>
    </w:p>
    <w:p>
      <w:pPr>
        <w:spacing w:after="120"/>
      </w:pPr>
      <w:r>
        <w:rPr>
          <w:rFonts w:ascii="Arial" w:cs="Arial" w:eastAsia="Arial" w:hAnsi="Arial"/>
          <w:b/>
          <w:bCs/>
          <w:color w:val="1A1A2E"/>
          <w:sz w:val="22"/>
          <w:szCs w:val="22"/>
        </w:rPr>
        <w:t xml:space="preserve">Enforcement Gates (21 gates): </w:t>
      </w:r>
      <w:r>
        <w:rPr>
          <w:rFonts w:ascii="Arial" w:cs="Arial" w:eastAsia="Arial" w:hAnsi="Arial"/>
          <w:color w:val="4A4A4A"/>
          <w:sz w:val="22"/>
          <w:szCs w:val="22"/>
        </w:rPr>
        <w:t xml:space="preserve">Structural integrity. These prevent hallucination, drift, fabrication, unauthorized actions, and protocol violations. They are not advisory — they are circuit breakers.</w:t>
      </w:r>
    </w:p>
    <w:p>
      <w:pPr>
        <w:spacing w:after="80"/>
      </w:pPr>
    </w:p>
    <w:p>
      <w:pPr>
        <w:pStyle w:val="Heading2"/>
        <w:spacing w:before="300" w:after="150"/>
      </w:pPr>
      <w:r>
        <w:rPr>
          <w:rFonts w:ascii="Arial" w:cs="Arial" w:eastAsia="Arial" w:hAnsi="Arial"/>
          <w:b/>
          <w:bCs/>
          <w:color w:val="00838F"/>
          <w:sz w:val="26"/>
          <w:szCs w:val="26"/>
        </w:rPr>
        <w:t xml:space="preserve">4.4 Fidelity Locks</w:t>
      </w:r>
    </w:p>
    <w:p>
      <w:pPr>
        <w:spacing w:after="120"/>
        <w:jc w:val="left"/>
      </w:pPr>
      <w:r>
        <w:rPr>
          <w:rFonts w:ascii="Arial" w:cs="Arial" w:eastAsia="Arial" w:hAnsi="Arial"/>
          <w:color w:val="4A4A4A"/>
          <w:sz w:val="22"/>
          <w:szCs w:val="22"/>
        </w:rPr>
        <w:t xml:space="preserve">MICHA holds 12 locks as of v10.7. Each lock is a specific enforcement mechanism: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Lock</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Core Enforcement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Zero drift, zero fabrication, evidence requirements, mode declaration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Correlation Monitor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Run H37/H38/H39 at every MARKET WATCH scan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Kill Switch Enforcer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When kill switch fires, execute immediately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Embargo Timer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Track and enforce 48-hour metals embargo</w:t>
            </w:r>
          </w:p>
        </w:tc>
      </w:tr>
    </w:tbl>
    <w:p>
      <w:pPr>
        <w:spacing w:after="80"/>
      </w:pPr>
    </w:p>
    <w:p>
      <w:pPr>
        <w:pStyle w:val="Heading2"/>
        <w:spacing w:before="300" w:after="150"/>
      </w:pPr>
      <w:r>
        <w:rPr>
          <w:rFonts w:ascii="Arial" w:cs="Arial" w:eastAsia="Arial" w:hAnsi="Arial"/>
          <w:b/>
          <w:bCs/>
          <w:color w:val="00838F"/>
          <w:sz w:val="26"/>
          <w:szCs w:val="26"/>
        </w:rPr>
        <w:t xml:space="preserve">4.5 What Triggered Each Major Version</w:t>
      </w:r>
    </w:p>
    <w:p>
      <w:pPr>
        <w:spacing w:after="120"/>
        <w:jc w:val="left"/>
      </w:pPr>
      <w:r>
        <w:rPr>
          <w:rFonts w:ascii="Arial" w:cs="Arial" w:eastAsia="Arial" w:hAnsi="Arial"/>
          <w:color w:val="4A4A4A"/>
          <w:sz w:val="22"/>
          <w:szCs w:val="22"/>
        </w:rPr>
        <w:t xml:space="preserve">Every major version was triggered by a specific failure, not by theoretical improvement. v10.3 was triggered by the discovery that the system could drift from its own instructions over long conversations. v10.5 was triggered by a P1 audit that discovered fabricated data in HUNTER documentation — the H1 SEC EDGAR node had been rewritten with different API endpoints than the live workflow. v10.7 was triggered by a $9,000 realized loss from an unmonitored correlation effect.</w:t>
      </w:r>
    </w:p>
    <w:p>
      <w:pPr>
        <w:spacing w:after="120"/>
        <w:jc w:val="left"/>
      </w:pPr>
      <w:r>
        <w:rPr>
          <w:rFonts w:ascii="Arial" w:cs="Arial" w:eastAsia="Arial" w:hAnsi="Arial"/>
          <w:color w:val="4A4A4A"/>
          <w:sz w:val="22"/>
          <w:szCs w:val="22"/>
        </w:rPr>
        <w:t xml:space="preserve">This is the philosophy encoded in the Principal’s Creed: loss is tuition for knowledge. Every version of METATRON is a lesson formalized as infrastructure.</w:t>
      </w:r>
    </w:p>
    <w:p>
      <w:r>
        <w:br w:type="page"/>
      </w:r>
    </w:p>
    <w:p>
      <w:pPr>
        <w:pStyle w:val="Heading1"/>
        <w:spacing w:before="400" w:after="200"/>
      </w:pPr>
      <w:r>
        <w:rPr>
          <w:rFonts w:ascii="Arial" w:cs="Arial" w:eastAsia="Arial" w:hAnsi="Arial"/>
          <w:b/>
          <w:bCs/>
          <w:color w:val="1A1A2E"/>
          <w:sz w:val="32"/>
          <w:szCs w:val="32"/>
        </w:rPr>
        <w:t xml:space="preserve">5. HUNTER: Market Intelligence Engine</w:t>
      </w:r>
    </w:p>
    <w:p>
      <w:pPr>
        <w:spacing w:after="80"/>
      </w:pPr>
    </w:p>
    <w:p>
      <w:pPr>
        <w:spacing w:after="120"/>
        <w:jc w:val="left"/>
      </w:pPr>
      <w:r>
        <w:rPr>
          <w:rFonts w:ascii="Arial" w:cs="Arial" w:eastAsia="Arial" w:hAnsi="Arial"/>
          <w:color w:val="4A4A4A"/>
          <w:sz w:val="22"/>
          <w:szCs w:val="22"/>
        </w:rPr>
        <w:t xml:space="preserve">HUNTER is the AIORA (AI-Optimized Risk Assessment) market intelligence system. It is an n8n workflow with 117+ nodes that executes 39 intelligence modules across 13 free or low-cost API data sources. HUNTER’s job is to surface signals. The Confidence Cascade’s job is to qualify them.</w:t>
      </w:r>
    </w:p>
    <w:p>
      <w:pPr>
        <w:spacing w:after="80"/>
      </w:pPr>
    </w:p>
    <w:p>
      <w:pPr>
        <w:pStyle w:val="Heading2"/>
        <w:spacing w:before="300" w:after="150"/>
      </w:pPr>
      <w:r>
        <w:rPr>
          <w:rFonts w:ascii="Arial" w:cs="Arial" w:eastAsia="Arial" w:hAnsi="Arial"/>
          <w:b/>
          <w:bCs/>
          <w:color w:val="00838F"/>
          <w:sz w:val="26"/>
          <w:szCs w:val="26"/>
        </w:rPr>
        <w:t xml:space="preserve">5.1 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Module Range</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Sources</w:t>
            </w:r>
          </w:p>
        </w:tc>
        <w:tc>
          <w:tcPr>
            <w:tcW w:type="dxa" w:w="3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H1–H6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Intelligence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SEC EDGAR, Alpha Vantage, NewsAPI, Finnhub</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Filings, fundamentals, news, insider trades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H7–H14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Technical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TwelveData, Finnhub</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Price action, indicators, options flow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H15–H21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Flow/Positioning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TwelveData, Congress.gov</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Volume, short interest, institutional flow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H22–H29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Market Intel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SEC EDGAR, Yahoo Finance, metals.dev, FRED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Earnings, commodities, macro indicators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H30–H36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Influence Chain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Finnhub, Senate LDA, USASpending, FEC</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Political intelligence, lobbying, contracts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H37–H39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Correlation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FRED, Finnhub</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DXY, yields, fund flows (NEW v10.7)</w:t>
            </w:r>
          </w:p>
        </w:tc>
      </w:tr>
    </w:tbl>
    <w:p>
      <w:pPr>
        <w:spacing w:after="80"/>
      </w:pPr>
    </w:p>
    <w:p>
      <w:pPr>
        <w:pStyle w:val="Heading2"/>
        <w:spacing w:before="300" w:after="150"/>
      </w:pPr>
      <w:r>
        <w:rPr>
          <w:rFonts w:ascii="Arial" w:cs="Arial" w:eastAsia="Arial" w:hAnsi="Arial"/>
          <w:b/>
          <w:bCs/>
          <w:color w:val="00838F"/>
          <w:sz w:val="26"/>
          <w:szCs w:val="26"/>
        </w:rPr>
        <w:t xml:space="preserve">5.2 The Correlation Modules (v10.7)</w:t>
      </w:r>
    </w:p>
    <w:p>
      <w:pPr>
        <w:spacing w:after="120"/>
        <w:jc w:val="left"/>
      </w:pPr>
      <w:r>
        <w:rPr>
          <w:rFonts w:ascii="Arial" w:cs="Arial" w:eastAsia="Arial" w:hAnsi="Arial"/>
          <w:color w:val="4A4A4A"/>
          <w:sz w:val="22"/>
          <w:szCs w:val="22"/>
        </w:rPr>
        <w:t xml:space="preserve">On March 3, 2026, the entire metals portfolio was liquidated by trailing stops — approximately $9,000 in realized losses. The silver thesis was valid: structural deficit, declining COMEX inventory, strong AG fundamentals. The failure was a second-order correlation effect that HUNTER did not monitor.</w:t>
      </w:r>
    </w:p>
    <w:p>
      <w:pPr>
        <w:spacing w:after="120"/>
        <w:jc w:val="left"/>
      </w:pPr>
      <w:r>
        <w:rPr>
          <w:rFonts w:ascii="Arial" w:cs="Arial" w:eastAsia="Arial" w:hAnsi="Arial"/>
          <w:color w:val="4A4A4A"/>
          <w:sz w:val="22"/>
          <w:szCs w:val="22"/>
        </w:rPr>
        <w:t xml:space="preserve">The thesis chain tracked was: Iran war escalates → fear → safe haven buying → metals up. The chain that actually executed was: Iran war extends → prolonged conflict fear → capital flees to USD → dollar strengthens → Treasury yields spike → strong dollar plus rising yields crushes metals despite safe-haven narrative.</w:t>
      </w:r>
    </w:p>
    <w:p>
      <w:pPr>
        <w:spacing w:after="120"/>
        <w:jc w:val="left"/>
      </w:pPr>
      <w:r>
        <w:rPr>
          <w:rFonts w:ascii="Arial" w:cs="Arial" w:eastAsia="Arial" w:hAnsi="Arial"/>
          <w:color w:val="4A4A4A"/>
          <w:sz w:val="22"/>
          <w:szCs w:val="22"/>
        </w:rPr>
        <w:t xml:space="preserve">Three new modules were built the same day:</w:t>
      </w:r>
    </w:p>
    <w:p>
      <w:pPr>
        <w:spacing w:after="80"/>
      </w:pPr>
    </w:p>
    <w:p>
      <w:pPr>
        <w:spacing w:after="120"/>
      </w:pPr>
      <w:r>
        <w:rPr>
          <w:rFonts w:ascii="Arial" w:cs="Arial" w:eastAsia="Arial" w:hAnsi="Arial"/>
          <w:b/>
          <w:bCs/>
          <w:color w:val="1A1A2E"/>
          <w:sz w:val="22"/>
          <w:szCs w:val="22"/>
        </w:rPr>
        <w:t xml:space="preserve">H37 — Dollar Correlation Gate (DXY): </w:t>
      </w:r>
      <w:r>
        <w:rPr>
          <w:rFonts w:ascii="Arial" w:cs="Arial" w:eastAsia="Arial" w:hAnsi="Arial"/>
          <w:color w:val="4A4A4A"/>
          <w:sz w:val="22"/>
          <w:szCs w:val="22"/>
        </w:rPr>
        <w:t xml:space="preserve">Monitors USD strength via FRED API. If DXY is above its 20-day moving average and rising, metals entries are blocked. This single module would have prevented the March 3 loss.</w:t>
      </w:r>
    </w:p>
    <w:p>
      <w:pPr>
        <w:spacing w:after="120"/>
      </w:pPr>
      <w:r>
        <w:rPr>
          <w:rFonts w:ascii="Arial" w:cs="Arial" w:eastAsia="Arial" w:hAnsi="Arial"/>
          <w:b/>
          <w:bCs/>
          <w:color w:val="1A1A2E"/>
          <w:sz w:val="22"/>
          <w:szCs w:val="22"/>
        </w:rPr>
        <w:t xml:space="preserve">H38 — Treasury Yield Monitor: </w:t>
      </w:r>
      <w:r>
        <w:rPr>
          <w:rFonts w:ascii="Arial" w:cs="Arial" w:eastAsia="Arial" w:hAnsi="Arial"/>
          <w:color w:val="4A4A4A"/>
          <w:sz w:val="22"/>
          <w:szCs w:val="22"/>
        </w:rPr>
        <w:t xml:space="preserve">Monitors 10-year Treasury yield level and velocity. Above 4.5% and rising signals headwind for non-yielding assets. Above 5% triggers evacuation.</w:t>
      </w:r>
    </w:p>
    <w:p>
      <w:pPr>
        <w:spacing w:after="120"/>
      </w:pPr>
      <w:r>
        <w:rPr>
          <w:rFonts w:ascii="Arial" w:cs="Arial" w:eastAsia="Arial" w:hAnsi="Arial"/>
          <w:b/>
          <w:bCs/>
          <w:color w:val="1A1A2E"/>
          <w:sz w:val="22"/>
          <w:szCs w:val="22"/>
        </w:rPr>
        <w:t xml:space="preserve">H39 — Fund Flow Proxy: </w:t>
      </w:r>
      <w:r>
        <w:rPr>
          <w:rFonts w:ascii="Arial" w:cs="Arial" w:eastAsia="Arial" w:hAnsi="Arial"/>
          <w:color w:val="4A4A4A"/>
          <w:sz w:val="22"/>
          <w:szCs w:val="22"/>
        </w:rPr>
        <w:t xml:space="preserve">Tracks SLV/GLD/SIL volume-price divergence as a proxy for institutional direction. When 2 of 3 ETFs show high volume on down days, institutional exit is in progress.</w:t>
      </w:r>
    </w:p>
    <w:p>
      <w:pPr>
        <w:spacing w:after="80"/>
      </w:pPr>
    </w:p>
    <w:p>
      <w:pPr>
        <w:pStyle w:val="Heading2"/>
        <w:spacing w:before="300" w:after="150"/>
      </w:pPr>
      <w:r>
        <w:rPr>
          <w:rFonts w:ascii="Arial" w:cs="Arial" w:eastAsia="Arial" w:hAnsi="Arial"/>
          <w:b/>
          <w:bCs/>
          <w:color w:val="00838F"/>
          <w:sz w:val="26"/>
          <w:szCs w:val="26"/>
        </w:rPr>
        <w:t xml:space="preserve">5.3 Parallel Execution</w:t>
      </w:r>
    </w:p>
    <w:p>
      <w:pPr>
        <w:spacing w:after="120"/>
        <w:jc w:val="left"/>
      </w:pPr>
      <w:r>
        <w:rPr>
          <w:rFonts w:ascii="Arial" w:cs="Arial" w:eastAsia="Arial" w:hAnsi="Arial"/>
          <w:color w:val="4A4A4A"/>
          <w:sz w:val="22"/>
          <w:szCs w:val="22"/>
        </w:rPr>
        <w:t xml:space="preserve">All 39 modules execute in parallel at 6 AM ET daily. H1–H36 feed into the HUNTER MASTER MERGE. H37–H39 feed into the CORRELATION GATE CHECK, which sits between parallel execution and the master merge. If the Correlation Kill Switch fires, the pipeline diverts to the kill switch path (Telegram alert, position reduction, embargo) before any analysis reaches the Collective.</w:t>
      </w:r>
    </w:p>
    <w:p>
      <w:pPr>
        <w:spacing w:after="80"/>
      </w:pPr>
    </w:p>
    <w:p>
      <w:pPr>
        <w:pStyle w:val="Heading2"/>
        <w:spacing w:before="300" w:after="150"/>
      </w:pPr>
      <w:r>
        <w:rPr>
          <w:rFonts w:ascii="Arial" w:cs="Arial" w:eastAsia="Arial" w:hAnsi="Arial"/>
          <w:b/>
          <w:bCs/>
          <w:color w:val="00838F"/>
          <w:sz w:val="26"/>
          <w:szCs w:val="26"/>
        </w:rPr>
        <w:t xml:space="preserve">5.4 Mandatory Filing Checks</w:t>
      </w:r>
    </w:p>
    <w:p>
      <w:pPr>
        <w:spacing w:after="120"/>
        <w:jc w:val="left"/>
      </w:pPr>
      <w:r>
        <w:rPr>
          <w:rFonts w:ascii="Arial" w:cs="Arial" w:eastAsia="Arial" w:hAnsi="Arial"/>
          <w:color w:val="4A4A4A"/>
          <w:sz w:val="22"/>
          <w:szCs w:val="22"/>
        </w:rPr>
        <w:t xml:space="preserve">A drift fix identified in February 2026 requires mandatory H4/H17/H22 filing checks on every MARKET WATCH scan. This prevents the system from missing institutional moves like Sprott’s HYMC Form 4 filings or the AMD-Meta $100B deal. Watch list filers include Sprott, Buffett, Druckenmiller, Burry, Ackman, and Dalio.</w:t>
      </w:r>
    </w:p>
    <w:p>
      <w:r>
        <w:br w:type="page"/>
      </w:r>
    </w:p>
    <w:p>
      <w:pPr>
        <w:pStyle w:val="Heading1"/>
        <w:spacing w:before="400" w:after="200"/>
      </w:pPr>
      <w:r>
        <w:rPr>
          <w:rFonts w:ascii="Arial" w:cs="Arial" w:eastAsia="Arial" w:hAnsi="Arial"/>
          <w:b/>
          <w:bCs/>
          <w:color w:val="1A1A2E"/>
          <w:sz w:val="32"/>
          <w:szCs w:val="32"/>
        </w:rPr>
        <w:t xml:space="preserve">6. The Confidence Cascade: 9-Gate Qualification</w:t>
      </w:r>
    </w:p>
    <w:p>
      <w:pPr>
        <w:spacing w:after="80"/>
      </w:pPr>
    </w:p>
    <w:p>
      <w:pPr>
        <w:spacing w:after="120"/>
        <w:jc w:val="left"/>
      </w:pPr>
      <w:r>
        <w:rPr>
          <w:rFonts w:ascii="Arial" w:cs="Arial" w:eastAsia="Arial" w:hAnsi="Arial"/>
          <w:color w:val="4A4A4A"/>
          <w:sz w:val="22"/>
          <w:szCs w:val="22"/>
        </w:rPr>
        <w:t xml:space="preserve">The Confidence Cascade transforms HUNTER from a signal discovery engine into a trade qualification system. Instead of surfacing 50 signals per week and expecting the Principal to filter, the system runs 9 independent gates that eliminate trades failing to meet the 90% threshold. Fewer trades. Higher quality. The system filters. The Principal decides.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500"/>
        <w:gridCol w:w="2860"/>
      </w:tblGrid>
      <w:tr>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Gate</w:t>
            </w:r>
          </w:p>
        </w:tc>
        <w:tc>
          <w:tcPr>
            <w:tcW w:type="dxa" w:w="2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Test Dimension</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Elimination Rate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Data Validity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Is the data clean and fresh?</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Signal Convergence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Do 3+ H-modules flag this ticker?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~60%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Historical Pattern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Has this signal combo won before?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Bootstrap phase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4</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Regime Alignment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Does market environment support it?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+10–15% accuracy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Agent Consensus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Do 3/4+ Collective agents agree?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+10–15% accuracy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6</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Counter-Thesis (RAZIEL)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Can the thesis be killed?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+5–8% accuracy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7</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Cross-Sector Confirm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Do adjacent sectors confirm?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+5–10% accuracy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7.5</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Counter-Thesis Challenge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Has the counter-thesis been addressed?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Binary pass/fail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8</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IRONCLAD Risk Check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Does position sizing comply?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Binary pass/fail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9</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Macro Correlation (NEW)</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Is the macro environment fighting the thesis?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Circuit breaker</w:t>
            </w:r>
          </w:p>
        </w:tc>
      </w:tr>
    </w:tbl>
    <w:p>
      <w:pPr>
        <w:spacing w:after="80"/>
      </w:pPr>
    </w:p>
    <w:p>
      <w:pPr>
        <w:spacing w:after="120"/>
        <w:jc w:val="left"/>
      </w:pPr>
      <w:r>
        <w:rPr>
          <w:rFonts w:ascii="Arial" w:cs="Arial" w:eastAsia="Arial" w:hAnsi="Arial"/>
          <w:color w:val="4A4A4A"/>
          <w:sz w:val="22"/>
          <w:szCs w:val="22"/>
        </w:rPr>
        <w:t xml:space="preserve">Gate 9 is the newest addition, triggered by the March 3 correlation loss. It is classified as a circuit breaker — not an advisory gate. If H37 (DXY), H38 (yields), or H39 (fund flows) indicate the macro environment is adverse for the thesis asset class, Gate 9 blocks the trade regardless of how well it scored on Gates 1–8.</w:t>
      </w:r>
    </w:p>
    <w:p>
      <w:pPr>
        <w:spacing w:after="120"/>
        <w:jc w:val="left"/>
      </w:pPr>
      <w:r>
        <w:rPr>
          <w:rFonts w:ascii="Arial" w:cs="Arial" w:eastAsia="Arial" w:hAnsi="Arial"/>
          <w:color w:val="4A4A4A"/>
          <w:sz w:val="22"/>
          <w:szCs w:val="22"/>
        </w:rPr>
        <w:t xml:space="preserve">The cascade processes roughly 50 signals per week from HUNTER and qualifies approximately 3–5 for execution. The design principle is that each gate tests a different dimension of quality, and redundancy is deliberate. No single gate failure should allow a bad trade through.</w:t>
      </w:r>
    </w:p>
    <w:p>
      <w:r>
        <w:br w:type="page"/>
      </w:r>
    </w:p>
    <w:p>
      <w:pPr>
        <w:pStyle w:val="Heading1"/>
        <w:spacing w:before="400" w:after="200"/>
      </w:pPr>
      <w:r>
        <w:rPr>
          <w:rFonts w:ascii="Arial" w:cs="Arial" w:eastAsia="Arial" w:hAnsi="Arial"/>
          <w:b/>
          <w:bCs/>
          <w:color w:val="1A1A2E"/>
          <w:sz w:val="32"/>
          <w:szCs w:val="32"/>
        </w:rPr>
        <w:t xml:space="preserve">7. IRONCLAD: Risk Management Framework</w:t>
      </w:r>
    </w:p>
    <w:p>
      <w:pPr>
        <w:spacing w:after="80"/>
      </w:pPr>
    </w:p>
    <w:p>
      <w:pPr>
        <w:spacing w:after="120"/>
        <w:jc w:val="left"/>
      </w:pPr>
      <w:r>
        <w:rPr>
          <w:rFonts w:ascii="Arial" w:cs="Arial" w:eastAsia="Arial" w:hAnsi="Arial"/>
          <w:color w:val="4A4A4A"/>
          <w:sz w:val="22"/>
          <w:szCs w:val="22"/>
        </w:rPr>
        <w:t xml:space="preserve">IRONCLAD is the risk management protocol governing all position sizing, stop-loss enforcement, profit-taking discipline, and exposure management. Version 2.0 was deployed March 3, 2026, adding correlation-driven rules and the Correlation Kill Switch.</w:t>
      </w:r>
    </w:p>
    <w:p>
      <w:pPr>
        <w:spacing w:after="80"/>
      </w:pPr>
    </w:p>
    <w:p>
      <w:pPr>
        <w:pStyle w:val="Heading2"/>
        <w:spacing w:before="300" w:after="150"/>
      </w:pPr>
      <w:r>
        <w:rPr>
          <w:rFonts w:ascii="Arial" w:cs="Arial" w:eastAsia="Arial" w:hAnsi="Arial"/>
          <w:b/>
          <w:bCs/>
          <w:color w:val="00838F"/>
          <w:sz w:val="26"/>
          <w:szCs w:val="26"/>
        </w:rPr>
        <w:t xml:space="preserve">7.1 Core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Risk per trade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1.5% of portfolio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Maximum position size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 of portfolio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Sector concentration limit</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35% of portfolio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Stop loss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 from entry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Trim at +10%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Sell 50% of position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Trim at +20%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Sell 60% of position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Binary event handling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Correlation-driven (H37/H38/H39)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Same-day re-entry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BANNED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Correlation Kill Switch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Auto 50% metals reduction, 48-hour embargo</w:t>
            </w:r>
          </w:p>
        </w:tc>
      </w:tr>
    </w:tbl>
    <w:p>
      <w:pPr>
        <w:spacing w:after="80"/>
      </w:pPr>
    </w:p>
    <w:p>
      <w:pPr>
        <w:pStyle w:val="Heading2"/>
        <w:spacing w:before="300" w:after="150"/>
      </w:pPr>
      <w:r>
        <w:rPr>
          <w:rFonts w:ascii="Arial" w:cs="Arial" w:eastAsia="Arial" w:hAnsi="Arial"/>
          <w:b/>
          <w:bCs/>
          <w:color w:val="00838F"/>
          <w:sz w:val="26"/>
          <w:szCs w:val="26"/>
        </w:rPr>
        <w:t xml:space="preserve">7.2 The Correlation Kill Switch</w:t>
      </w:r>
    </w:p>
    <w:p>
      <w:pPr>
        <w:spacing w:after="120"/>
        <w:jc w:val="left"/>
      </w:pPr>
      <w:r>
        <w:rPr>
          <w:rFonts w:ascii="Arial" w:cs="Arial" w:eastAsia="Arial" w:hAnsi="Arial"/>
          <w:color w:val="4A4A4A"/>
          <w:sz w:val="22"/>
          <w:szCs w:val="22"/>
        </w:rPr>
        <w:t xml:space="preserve">The Kill Switch fires when DXY is above its 20-day moving average and strengthening AND Treasury yields are above 4.5% and rising. Alternatively, it fires when institutional fund flow shows exit patterns across 2+ metals ETFs while the dollar is not weakening. When it fires:</w:t>
      </w:r>
    </w:p>
    <w:p>
      <w:pPr>
        <w:spacing w:after="80"/>
      </w:pPr>
    </w:p>
    <w:p>
      <w:pPr>
        <w:pStyle w:val="ListParagraph"/>
        <w:numPr>
          <w:ilvl w:val="0"/>
          <w:numId w:val="2"/>
        </w:numPr>
        <w:spacing w:after="80"/>
      </w:pPr>
      <w:r>
        <w:rPr>
          <w:rFonts w:ascii="Arial" w:cs="Arial" w:eastAsia="Arial" w:hAnsi="Arial"/>
          <w:color w:val="4A4A4A"/>
          <w:sz w:val="22"/>
          <w:szCs w:val="22"/>
        </w:rPr>
        <w:t xml:space="preserve">All metals positions reduced by 50% within 60 minutes. No override. No exceptions.</w:t>
      </w:r>
    </w:p>
    <w:p>
      <w:pPr>
        <w:pStyle w:val="ListParagraph"/>
        <w:numPr>
          <w:ilvl w:val="0"/>
          <w:numId w:val="2"/>
        </w:numPr>
        <w:spacing w:after="80"/>
      </w:pPr>
      <w:r>
        <w:rPr>
          <w:rFonts w:ascii="Arial" w:cs="Arial" w:eastAsia="Arial" w:hAnsi="Arial"/>
          <w:color w:val="4A4A4A"/>
          <w:sz w:val="22"/>
          <w:szCs w:val="22"/>
        </w:rPr>
        <w:t xml:space="preserve">Remaining 50% receives 1x ATR trailing stops (tighter than normal 1.5–2x).</w:t>
      </w:r>
    </w:p>
    <w:p>
      <w:pPr>
        <w:pStyle w:val="ListParagraph"/>
        <w:numPr>
          <w:ilvl w:val="0"/>
          <w:numId w:val="2"/>
        </w:numPr>
        <w:spacing w:after="80"/>
      </w:pPr>
      <w:r>
        <w:rPr>
          <w:rFonts w:ascii="Arial" w:cs="Arial" w:eastAsia="Arial" w:hAnsi="Arial"/>
          <w:color w:val="4A4A4A"/>
          <w:sz w:val="22"/>
          <w:szCs w:val="22"/>
        </w:rPr>
        <w:t xml:space="preserve">48-hour embargo on all new metals entries.</w:t>
      </w:r>
    </w:p>
    <w:p>
      <w:pPr>
        <w:pStyle w:val="ListParagraph"/>
        <w:numPr>
          <w:ilvl w:val="0"/>
          <w:numId w:val="2"/>
        </w:numPr>
        <w:spacing w:after="80"/>
      </w:pPr>
      <w:r>
        <w:rPr>
          <w:rFonts w:ascii="Arial" w:cs="Arial" w:eastAsia="Arial" w:hAnsi="Arial"/>
          <w:color w:val="4A4A4A"/>
          <w:sz w:val="22"/>
          <w:szCs w:val="22"/>
        </w:rPr>
        <w:t xml:space="preserve">Embargo resets only when all three correlation modules return gate_pass=true for 2 consecutive scans.</w:t>
      </w:r>
    </w:p>
    <w:p>
      <w:pPr>
        <w:spacing w:after="80"/>
      </w:pPr>
    </w:p>
    <w:p>
      <w:pPr>
        <w:pStyle w:val="Heading2"/>
        <w:spacing w:before="300" w:after="150"/>
      </w:pPr>
      <w:r>
        <w:rPr>
          <w:rFonts w:ascii="Arial" w:cs="Arial" w:eastAsia="Arial" w:hAnsi="Arial"/>
          <w:b/>
          <w:bCs/>
          <w:color w:val="00838F"/>
          <w:sz w:val="26"/>
          <w:szCs w:val="26"/>
        </w:rPr>
        <w:t xml:space="preserve">7.3 The Formative Loss</w:t>
      </w:r>
    </w:p>
    <w:p>
      <w:pPr>
        <w:spacing w:after="120"/>
        <w:jc w:val="left"/>
      </w:pPr>
      <w:r>
        <w:rPr>
          <w:rFonts w:ascii="Arial" w:cs="Arial" w:eastAsia="Arial" w:hAnsi="Arial"/>
          <w:color w:val="4A4A4A"/>
          <w:sz w:val="22"/>
          <w:szCs w:val="22"/>
        </w:rPr>
        <w:t xml:space="preserve">Every IRONCLAD rule traces its origin to a specific loss. The initial $4,500 loss early in the trading journey established the fundamental risk framework. The January 28–29 Fed meeting losses reinforced binary event handling. The March 3 correlation loss added the kill switch, same-day re-entry ban, and correlation gates. This is the creed in action: loss is tuition for knowledge, formalized as infrastructure.</w:t>
      </w:r>
    </w:p>
    <w:p>
      <w:r>
        <w:br w:type="page"/>
      </w:r>
    </w:p>
    <w:p>
      <w:pPr>
        <w:pStyle w:val="Heading1"/>
        <w:spacing w:before="400" w:after="200"/>
      </w:pPr>
      <w:r>
        <w:rPr>
          <w:rFonts w:ascii="Arial" w:cs="Arial" w:eastAsia="Arial" w:hAnsi="Arial"/>
          <w:b/>
          <w:bCs/>
          <w:color w:val="1A1A2E"/>
          <w:sz w:val="32"/>
          <w:szCs w:val="32"/>
        </w:rPr>
        <w:t xml:space="preserve">8. The Correlation Discovery</w:t>
      </w:r>
    </w:p>
    <w:p>
      <w:pPr>
        <w:spacing w:after="80"/>
      </w:pPr>
    </w:p>
    <w:p>
      <w:pPr>
        <w:spacing w:after="120"/>
        <w:jc w:val="left"/>
      </w:pPr>
      <w:r>
        <w:rPr>
          <w:rFonts w:ascii="Arial" w:cs="Arial" w:eastAsia="Arial" w:hAnsi="Arial"/>
          <w:color w:val="4A4A4A"/>
          <w:sz w:val="22"/>
          <w:szCs w:val="22"/>
        </w:rPr>
        <w:t xml:space="preserve">March 3, 2026 was a turning point. It represents the single most expensive lesson in the platform’s history and the single most valuable architectural improvement.</w:t>
      </w:r>
    </w:p>
    <w:p>
      <w:pPr>
        <w:spacing w:after="80"/>
      </w:pPr>
    </w:p>
    <w:p>
      <w:pPr>
        <w:pStyle w:val="Heading2"/>
        <w:spacing w:before="300" w:after="150"/>
      </w:pPr>
      <w:r>
        <w:rPr>
          <w:rFonts w:ascii="Arial" w:cs="Arial" w:eastAsia="Arial" w:hAnsi="Arial"/>
          <w:b/>
          <w:bCs/>
          <w:color w:val="00838F"/>
          <w:sz w:val="26"/>
          <w:szCs w:val="26"/>
        </w:rPr>
        <w:t xml:space="preserve">8.1 What Happened</w:t>
      </w:r>
    </w:p>
    <w:p>
      <w:pPr>
        <w:spacing w:after="120"/>
        <w:jc w:val="left"/>
      </w:pPr>
      <w:r>
        <w:rPr>
          <w:rFonts w:ascii="Arial" w:cs="Arial" w:eastAsia="Arial" w:hAnsi="Arial"/>
          <w:color w:val="4A4A4A"/>
          <w:sz w:val="22"/>
          <w:szCs w:val="22"/>
        </w:rPr>
        <w:t xml:space="preserve">The silver thesis was active: COMEX registered inventory declining, Shanghai premiums elevated, sixth consecutive year of structural deficit with accumulated shortfall exceeding 800 million ounces since 2021. First Majestic Silver (AG) had just posted 15.4 million ounces in 2025 production (84% increase over 2024) and held $1 billion in cash reserves.</w:t>
      </w:r>
    </w:p>
    <w:p>
      <w:pPr>
        <w:spacing w:after="120"/>
        <w:jc w:val="left"/>
      </w:pPr>
      <w:r>
        <w:rPr>
          <w:rFonts w:ascii="Arial" w:cs="Arial" w:eastAsia="Arial" w:hAnsi="Arial"/>
          <w:color w:val="4A4A4A"/>
          <w:sz w:val="22"/>
          <w:szCs w:val="22"/>
        </w:rPr>
        <w:t xml:space="preserve">U.S.-Israel strikes on Iran intensified over the weekend. The Collective’s analysis: geopolitical fear drives safe-haven buying, metals rally. Silver hit $96.40 intraday on the first-order effect.</w:t>
      </w:r>
    </w:p>
    <w:p>
      <w:pPr>
        <w:spacing w:after="120"/>
        <w:jc w:val="left"/>
      </w:pPr>
      <w:r>
        <w:rPr>
          <w:rFonts w:ascii="Arial" w:cs="Arial" w:eastAsia="Arial" w:hAnsi="Arial"/>
          <w:color w:val="4A4A4A"/>
          <w:sz w:val="22"/>
          <w:szCs w:val="22"/>
        </w:rPr>
        <w:t xml:space="preserve">Then the second-order effect executed. Prolonged conflict fear drove global capital to the ultimate safe haven: the U.S. dollar. The dollar strengthened. Treasury yields spiked as bonds absorbed safe-haven flow. Strong dollar plus rising yields crushed non-yielding assets including silver, which dropped from $96.40 to under $83 in a single session.</w:t>
      </w:r>
    </w:p>
    <w:p>
      <w:pPr>
        <w:spacing w:after="80"/>
      </w:pPr>
    </w:p>
    <w:p>
      <w:pPr>
        <w:pStyle w:val="Heading2"/>
        <w:spacing w:before="300" w:after="150"/>
      </w:pPr>
      <w:r>
        <w:rPr>
          <w:rFonts w:ascii="Arial" w:cs="Arial" w:eastAsia="Arial" w:hAnsi="Arial"/>
          <w:b/>
          <w:bCs/>
          <w:color w:val="00838F"/>
          <w:sz w:val="26"/>
          <w:szCs w:val="26"/>
        </w:rPr>
        <w:t xml:space="preserve">8.2 The Damage</w:t>
      </w:r>
    </w:p>
    <w:p>
      <w:pPr>
        <w:spacing w:after="120"/>
        <w:jc w:val="left"/>
      </w:pPr>
      <w:r>
        <w:rPr>
          <w:rFonts w:ascii="Arial" w:cs="Arial" w:eastAsia="Arial" w:hAnsi="Arial"/>
          <w:color w:val="4A4A4A"/>
          <w:sz w:val="22"/>
          <w:szCs w:val="22"/>
        </w:rPr>
        <w:t xml:space="preserve">Trailing stops executed across three E*Trade accounts. All AG (1,550 shares), all PSLV (1,000 shares), all GLD (35 shares) were liquidated. Total realized loss: approximately $9,000. Without trailing stops, the loss would have been $15,000–20,000+.</w:t>
      </w:r>
    </w:p>
    <w:p>
      <w:pPr>
        <w:spacing w:after="80"/>
      </w:pPr>
    </w:p>
    <w:p>
      <w:pPr>
        <w:pStyle w:val="Heading2"/>
        <w:spacing w:before="300" w:after="150"/>
      </w:pPr>
      <w:r>
        <w:rPr>
          <w:rFonts w:ascii="Arial" w:cs="Arial" w:eastAsia="Arial" w:hAnsi="Arial"/>
          <w:b/>
          <w:bCs/>
          <w:color w:val="00838F"/>
          <w:sz w:val="26"/>
          <w:szCs w:val="26"/>
        </w:rPr>
        <w:t xml:space="preserve">8.3 The Gap</w:t>
      </w:r>
    </w:p>
    <w:p>
      <w:pPr>
        <w:spacing w:after="120"/>
        <w:jc w:val="left"/>
      </w:pPr>
      <w:r>
        <w:rPr>
          <w:rFonts w:ascii="Arial" w:cs="Arial" w:eastAsia="Arial" w:hAnsi="Arial"/>
          <w:color w:val="4A4A4A"/>
          <w:sz w:val="22"/>
          <w:szCs w:val="22"/>
        </w:rPr>
        <w:t xml:space="preserve">The Collective tracked silver-to-geopolitics as a single variable. Institutional desks track a three-link chain: geopolitics → dollar → yields → metals. The platform had 36 intelligence modules. Zero monitored the dollar-yield-metals inverse relationship that institutions use as their primary risk signal for precious metals positions.</w:t>
      </w:r>
    </w:p>
    <w:p>
      <w:pPr>
        <w:spacing w:after="120"/>
        <w:jc w:val="left"/>
      </w:pPr>
      <w:r>
        <w:rPr>
          <w:rFonts w:ascii="Arial" w:cs="Arial" w:eastAsia="Arial" w:hAnsi="Arial"/>
          <w:color w:val="4A4A4A"/>
          <w:sz w:val="22"/>
          <w:szCs w:val="22"/>
        </w:rPr>
        <w:t xml:space="preserve">This was not a thesis failure. The thesis was and remains valid. This was a correlation model failure — the absence of macro context monitoring that would have revealed the second-order effect before it destroyed the positions.</w:t>
      </w:r>
    </w:p>
    <w:p>
      <w:pPr>
        <w:spacing w:after="80"/>
      </w:pPr>
    </w:p>
    <w:p>
      <w:pPr>
        <w:pStyle w:val="Heading2"/>
        <w:spacing w:before="300" w:after="150"/>
      </w:pPr>
      <w:r>
        <w:rPr>
          <w:rFonts w:ascii="Arial" w:cs="Arial" w:eastAsia="Arial" w:hAnsi="Arial"/>
          <w:b/>
          <w:bCs/>
          <w:color w:val="00838F"/>
          <w:sz w:val="26"/>
          <w:szCs w:val="26"/>
        </w:rPr>
        <w:t xml:space="preserve">8.4 What Edelman Has That We Didn’t</w:t>
      </w:r>
    </w:p>
    <w:p>
      <w:pPr>
        <w:spacing w:after="120"/>
        <w:jc w:val="left"/>
      </w:pPr>
      <w:r>
        <w:rPr>
          <w:rFonts w:ascii="Arial" w:cs="Arial" w:eastAsia="Arial" w:hAnsi="Arial"/>
          <w:color w:val="4A4A4A"/>
          <w:sz w:val="22"/>
          <w:szCs w:val="22"/>
        </w:rPr>
        <w:t xml:space="preserve">The comparison was instructive. Edelman Financial, a traditional advisory service, had never produced a loss of this magnitude for the Principal. Their approach: bulk allocation across small cap, large cap, and international with mechanical rebalancing. No AI. No thesis. No overnight analysis. Just four things the Collective lacked: DXY inverse correlation enforcement, yield curve monitoring, cross-asset flow data, and automatic rebalancing. None of that data is behind a paywall. DXY is free. Treasury yields are free. Fund flow proxies exist in ETF volume data. The data was always available. It was never wired in.</w:t>
      </w:r>
    </w:p>
    <w:p>
      <w:pPr>
        <w:spacing w:after="80"/>
      </w:pPr>
    </w:p>
    <w:p>
      <w:pPr>
        <w:pStyle w:val="Heading2"/>
        <w:spacing w:before="300" w:after="150"/>
      </w:pPr>
      <w:r>
        <w:rPr>
          <w:rFonts w:ascii="Arial" w:cs="Arial" w:eastAsia="Arial" w:hAnsi="Arial"/>
          <w:b/>
          <w:bCs/>
          <w:color w:val="00838F"/>
          <w:sz w:val="26"/>
          <w:szCs w:val="26"/>
        </w:rPr>
        <w:t xml:space="preserve">8.5 The Fix</w:t>
      </w:r>
    </w:p>
    <w:p>
      <w:pPr>
        <w:spacing w:after="120"/>
        <w:jc w:val="left"/>
      </w:pPr>
      <w:r>
        <w:rPr>
          <w:rFonts w:ascii="Arial" w:cs="Arial" w:eastAsia="Arial" w:hAnsi="Arial"/>
          <w:color w:val="4A4A4A"/>
          <w:sz w:val="22"/>
          <w:szCs w:val="22"/>
        </w:rPr>
        <w:t xml:space="preserve">Three HUNTER modules (H37, H38, H39) were specified and documented within hours. The IRONCLAD protocol was upgraded to v2.0 with correlation-driven rules. Gate 9 was added to the Confidence Cascade. METATRON was amended to v10.7 with three new MICHA locks, the "we" language standard, and the evidence-before-assertion rule.</w:t>
      </w:r>
    </w:p>
    <w:p>
      <w:pPr>
        <w:spacing w:after="120"/>
        <w:jc w:val="left"/>
      </w:pPr>
      <w:r>
        <w:rPr>
          <w:rFonts w:ascii="Arial" w:cs="Arial" w:eastAsia="Arial" w:hAnsi="Arial"/>
          <w:color w:val="4A4A4A"/>
          <w:sz w:val="22"/>
          <w:szCs w:val="22"/>
        </w:rPr>
        <w:t xml:space="preserve">Forensic analysis confirmed: if H37/H38/H39 had been active, the Kill Switch would have fired on the morning of March 2 or early March 3, reducing exposure by 50% before the worst of the decline. Estimated savings: $6,000–7,000 on a single event.</w:t>
      </w:r>
    </w:p>
    <w:p>
      <w:r>
        <w:br w:type="page"/>
      </w:r>
    </w:p>
    <w:p>
      <w:pPr>
        <w:pStyle w:val="Heading1"/>
        <w:spacing w:before="400" w:after="200"/>
      </w:pPr>
      <w:r>
        <w:rPr>
          <w:rFonts w:ascii="Arial" w:cs="Arial" w:eastAsia="Arial" w:hAnsi="Arial"/>
          <w:b/>
          <w:bCs/>
          <w:color w:val="1A1A2E"/>
          <w:sz w:val="32"/>
          <w:szCs w:val="32"/>
        </w:rPr>
        <w:t xml:space="preserve">9. Collective Intelligence Layer (CIL)</w:t>
      </w:r>
    </w:p>
    <w:p>
      <w:pPr>
        <w:spacing w:after="80"/>
      </w:pPr>
    </w:p>
    <w:p>
      <w:pPr>
        <w:spacing w:after="120"/>
        <w:jc w:val="left"/>
      </w:pPr>
      <w:r>
        <w:rPr>
          <w:rFonts w:ascii="Arial" w:cs="Arial" w:eastAsia="Arial" w:hAnsi="Arial"/>
          <w:color w:val="4A4A4A"/>
          <w:sz w:val="22"/>
          <w:szCs w:val="22"/>
        </w:rPr>
        <w:t xml:space="preserve">The CIL is the n8n workflow that orchestrates multi-agent analysis. It receives HUNTER’s aggregated market intelligence and routes it to the Collective agents for independent analysis, then synthesizes their responses into a scored recommendation.</w:t>
      </w:r>
    </w:p>
    <w:p>
      <w:pPr>
        <w:spacing w:after="80"/>
      </w:pPr>
    </w:p>
    <w:p>
      <w:pPr>
        <w:pStyle w:val="Heading2"/>
        <w:spacing w:before="300" w:after="150"/>
      </w:pPr>
      <w:r>
        <w:rPr>
          <w:rFonts w:ascii="Arial" w:cs="Arial" w:eastAsia="Arial" w:hAnsi="Arial"/>
          <w:b/>
          <w:bCs/>
          <w:color w:val="00838F"/>
          <w:sz w:val="26"/>
          <w:szCs w:val="26"/>
        </w:rPr>
        <w:t xml:space="preserve">9.1 Architecture</w:t>
      </w:r>
    </w:p>
    <w:p>
      <w:pPr>
        <w:spacing w:after="120"/>
        <w:jc w:val="left"/>
      </w:pPr>
      <w:r>
        <w:rPr>
          <w:rFonts w:ascii="Arial" w:cs="Arial" w:eastAsia="Arial" w:hAnsi="Arial"/>
          <w:color w:val="4A4A4A"/>
          <w:sz w:val="22"/>
          <w:szCs w:val="22"/>
        </w:rPr>
        <w:t xml:space="preserve">CIL v6.0 is the current production target. It was rebuilt from scratch to fix two critical issues from v5.0: the zombie bug (alwaysOutputData=true causing empty data to cascade silently through the pipeline) and health gate failures that prevented end-to-end execution.</w:t>
      </w:r>
    </w:p>
    <w:p>
      <w:pPr>
        <w:spacing w:after="80"/>
      </w:pPr>
    </w:p>
    <w:p>
      <w:pPr>
        <w:spacing w:after="120"/>
      </w:pPr>
      <w:r>
        <w:rPr>
          <w:rFonts w:ascii="Arial" w:cs="Arial" w:eastAsia="Arial" w:hAnsi="Arial"/>
          <w:b/>
          <w:bCs/>
          <w:color w:val="1A1A2E"/>
          <w:sz w:val="22"/>
          <w:szCs w:val="22"/>
        </w:rPr>
        <w:t xml:space="preserve">Nodes: </w:t>
      </w:r>
      <w:r>
        <w:rPr>
          <w:rFonts w:ascii="Arial" w:cs="Arial" w:eastAsia="Arial" w:hAnsi="Arial"/>
          <w:color w:val="4A4A4A"/>
          <w:sz w:val="22"/>
          <w:szCs w:val="22"/>
        </w:rPr>
        <w:t xml:space="preserve">29 (v6.0)</w:t>
      </w:r>
    </w:p>
    <w:p>
      <w:pPr>
        <w:spacing w:after="120"/>
      </w:pPr>
      <w:r>
        <w:rPr>
          <w:rFonts w:ascii="Arial" w:cs="Arial" w:eastAsia="Arial" w:hAnsi="Arial"/>
          <w:b/>
          <w:bCs/>
          <w:color w:val="1A1A2E"/>
          <w:sz w:val="22"/>
          <w:szCs w:val="22"/>
        </w:rPr>
        <w:t xml:space="preserve">Health Gate: </w:t>
      </w:r>
      <w:r>
        <w:rPr>
          <w:rFonts w:ascii="Arial" w:cs="Arial" w:eastAsia="Arial" w:hAnsi="Arial"/>
          <w:color w:val="4A4A4A"/>
          <w:sz w:val="22"/>
          <w:szCs w:val="22"/>
        </w:rPr>
        <w:t xml:space="preserve">Requires 3/5 agent quorum before synthesis</w:t>
      </w:r>
    </w:p>
    <w:p>
      <w:pPr>
        <w:spacing w:after="120"/>
      </w:pPr>
      <w:r>
        <w:rPr>
          <w:rFonts w:ascii="Arial" w:cs="Arial" w:eastAsia="Arial" w:hAnsi="Arial"/>
          <w:b/>
          <w:bCs/>
          <w:color w:val="1A1A2E"/>
          <w:sz w:val="22"/>
          <w:szCs w:val="22"/>
        </w:rPr>
        <w:t xml:space="preserve">Timeouts: </w:t>
      </w:r>
      <w:r>
        <w:rPr>
          <w:rFonts w:ascii="Arial" w:cs="Arial" w:eastAsia="Arial" w:hAnsi="Arial"/>
          <w:color w:val="4A4A4A"/>
          <w:sz w:val="22"/>
          <w:szCs w:val="22"/>
        </w:rPr>
        <w:t xml:space="preserve">120 seconds per agent, 300 seconds total</w:t>
      </w:r>
    </w:p>
    <w:p>
      <w:pPr>
        <w:spacing w:after="120"/>
      </w:pPr>
      <w:r>
        <w:rPr>
          <w:rFonts w:ascii="Arial" w:cs="Arial" w:eastAsia="Arial" w:hAnsi="Arial"/>
          <w:b/>
          <w:bCs/>
          <w:color w:val="1A1A2E"/>
          <w:sz w:val="22"/>
          <w:szCs w:val="22"/>
        </w:rPr>
        <w:t xml:space="preserve">alwaysOutputData: </w:t>
      </w:r>
      <w:r>
        <w:rPr>
          <w:rFonts w:ascii="Arial" w:cs="Arial" w:eastAsia="Arial" w:hAnsi="Arial"/>
          <w:color w:val="4A4A4A"/>
          <w:sz w:val="22"/>
          <w:szCs w:val="22"/>
        </w:rPr>
        <w:t xml:space="preserve">FALSE on all HTTP nodes (zombie bug fix)</w:t>
      </w:r>
    </w:p>
    <w:p>
      <w:pPr>
        <w:spacing w:after="120"/>
      </w:pPr>
      <w:r>
        <w:rPr>
          <w:rFonts w:ascii="Arial" w:cs="Arial" w:eastAsia="Arial" w:hAnsi="Arial"/>
          <w:b/>
          <w:bCs/>
          <w:color w:val="1A1A2E"/>
          <w:sz w:val="22"/>
          <w:szCs w:val="22"/>
        </w:rPr>
        <w:t xml:space="preserve">Error Routing: </w:t>
      </w:r>
      <w:r>
        <w:rPr>
          <w:rFonts w:ascii="Arial" w:cs="Arial" w:eastAsia="Arial" w:hAnsi="Arial"/>
          <w:color w:val="4A4A4A"/>
          <w:sz w:val="22"/>
          <w:szCs w:val="22"/>
        </w:rPr>
        <w:t xml:space="preserve">Dedicated error paths with logging</w:t>
      </w:r>
    </w:p>
    <w:p>
      <w:pPr>
        <w:spacing w:after="80"/>
      </w:pPr>
    </w:p>
    <w:p>
      <w:pPr>
        <w:pStyle w:val="Heading2"/>
        <w:spacing w:before="300" w:after="150"/>
      </w:pPr>
      <w:r>
        <w:rPr>
          <w:rFonts w:ascii="Arial" w:cs="Arial" w:eastAsia="Arial" w:hAnsi="Arial"/>
          <w:b/>
          <w:bCs/>
          <w:color w:val="00838F"/>
          <w:sz w:val="26"/>
          <w:szCs w:val="26"/>
        </w:rPr>
        <w:t xml:space="preserve">9.2 Pipeline Flow</w:t>
      </w:r>
    </w:p>
    <w:p>
      <w:pPr>
        <w:spacing w:after="120"/>
        <w:jc w:val="left"/>
      </w:pPr>
      <w:r>
        <w:rPr>
          <w:rFonts w:ascii="Arial" w:cs="Arial" w:eastAsia="Arial" w:hAnsi="Arial"/>
          <w:color w:val="4A4A4A"/>
          <w:sz w:val="22"/>
          <w:szCs w:val="22"/>
        </w:rPr>
        <w:t xml:space="preserve">The CIL receives aggregated HUNTER data, formats it into agent-specific prompts via the AGENT PAYLOAD BUILDER, sends parallel requests to URIEL (OpenAI), COLOSSUS (xAI), HANIEL (Google), and RAZIEL (DeepSeek), collects responses through a HEALTH GATE requiring 3/5 quorum, and passes validated responses to MICHA for synthesis scoring. Failed agents are logged but do not block the pipeline. The synthesis produces a concurrence score, dissent analysis, and trade qualification recommendation.</w:t>
      </w:r>
    </w:p>
    <w:p>
      <w:pPr>
        <w:spacing w:after="80"/>
      </w:pPr>
    </w:p>
    <w:p>
      <w:pPr>
        <w:pStyle w:val="Heading2"/>
        <w:spacing w:before="300" w:after="150"/>
      </w:pPr>
      <w:r>
        <w:rPr>
          <w:rFonts w:ascii="Arial" w:cs="Arial" w:eastAsia="Arial" w:hAnsi="Arial"/>
          <w:b/>
          <w:bCs/>
          <w:color w:val="00838F"/>
          <w:sz w:val="26"/>
          <w:szCs w:val="26"/>
        </w:rPr>
        <w:t xml:space="preserve">9.3 Version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45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Nodes</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45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 Issue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v4.0–v4.2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22–28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Deprecated</w:t>
            </w:r>
          </w:p>
        </w:tc>
        <w:tc>
          <w:tcPr>
            <w:tcW w:type="dxa" w:w="54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Field name mismatches, no error routing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Deprecated</w:t>
            </w:r>
          </w:p>
        </w:tc>
        <w:tc>
          <w:tcPr>
            <w:tcW w:type="dxa" w:w="54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Zombie bug, no health gates, never end-to-end validated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In Progress</w:t>
            </w:r>
          </w:p>
        </w:tc>
        <w:tc>
          <w:tcPr>
            <w:tcW w:type="dxa" w:w="54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Clean build, proper error routing, health gate, CI/CD target</w:t>
            </w:r>
          </w:p>
        </w:tc>
      </w:tr>
    </w:tbl>
    <w:p>
      <w:pPr>
        <w:spacing w:after="80"/>
      </w:pPr>
    </w:p>
    <w:p>
      <w:pPr>
        <w:pStyle w:val="Heading2"/>
        <w:spacing w:before="300" w:after="150"/>
      </w:pPr>
      <w:r>
        <w:rPr>
          <w:rFonts w:ascii="Arial" w:cs="Arial" w:eastAsia="Arial" w:hAnsi="Arial"/>
          <w:b/>
          <w:bCs/>
          <w:color w:val="00838F"/>
          <w:sz w:val="26"/>
          <w:szCs w:val="26"/>
        </w:rPr>
        <w:t xml:space="preserve">9.4 The Enforcement Gap</w:t>
      </w:r>
    </w:p>
    <w:p>
      <w:pPr>
        <w:spacing w:after="120"/>
        <w:jc w:val="left"/>
      </w:pPr>
      <w:r>
        <w:rPr>
          <w:rFonts w:ascii="Arial" w:cs="Arial" w:eastAsia="Arial" w:hAnsi="Arial"/>
          <w:color w:val="4A4A4A"/>
          <w:sz w:val="22"/>
          <w:szCs w:val="22"/>
        </w:rPr>
        <w:t xml:space="preserve">CIL is where the enforcement gap becomes concrete. In a chat window, an agent can be asked to follow METATRON’s rules — but it can also drift, hallucinate, or skip gates. In the CIL pipeline, every step is a separate n8n node. The HEALTH GATE node will not pass data downstream unless 3/5 agents returned valid responses. The timeout node will kill an agent call at 120 seconds regardless of context. The error router will log failures instead of silently propagating empty data. This is the difference between instruction and architecture.</w:t>
      </w:r>
    </w:p>
    <w:p>
      <w:r>
        <w:br w:type="page"/>
      </w:r>
    </w:p>
    <w:p>
      <w:pPr>
        <w:pStyle w:val="Heading1"/>
        <w:spacing w:before="400" w:after="200"/>
      </w:pPr>
      <w:r>
        <w:rPr>
          <w:rFonts w:ascii="Arial" w:cs="Arial" w:eastAsia="Arial" w:hAnsi="Arial"/>
          <w:b/>
          <w:bCs/>
          <w:color w:val="1A1A2E"/>
          <w:sz w:val="32"/>
          <w:szCs w:val="32"/>
        </w:rPr>
        <w:t xml:space="preserve">10. FORGE: Prompt Engineering Platform</w:t>
      </w:r>
    </w:p>
    <w:p>
      <w:pPr>
        <w:spacing w:after="80"/>
      </w:pPr>
    </w:p>
    <w:p>
      <w:pPr>
        <w:spacing w:after="120"/>
        <w:jc w:val="left"/>
      </w:pPr>
      <w:r>
        <w:rPr>
          <w:rFonts w:ascii="Arial" w:cs="Arial" w:eastAsia="Arial" w:hAnsi="Arial"/>
          <w:color w:val="4A4A4A"/>
          <w:sz w:val="22"/>
          <w:szCs w:val="22"/>
        </w:rPr>
        <w:t xml:space="preserve">FORGE is the prompt engineering system that evolved from a text-based scoring tool into a research intelligence platform. In its current incarnation (v2.0, rebranded as ANVIL+ASSAY), it provides three capabilities: ANVIL builds prompts using a reverse-engineering methodology, ASSAY tests them against quality criteria, and the FORGE dashboard displays results in a visual cascade interface.</w:t>
      </w:r>
    </w:p>
    <w:p>
      <w:pPr>
        <w:spacing w:after="80"/>
      </w:pPr>
    </w:p>
    <w:p>
      <w:pPr>
        <w:pStyle w:val="Heading2"/>
        <w:spacing w:before="300" w:after="150"/>
      </w:pPr>
      <w:r>
        <w:rPr>
          <w:rFonts w:ascii="Arial" w:cs="Arial" w:eastAsia="Arial" w:hAnsi="Arial"/>
          <w:b/>
          <w:bCs/>
          <w:color w:val="00838F"/>
          <w:sz w:val="26"/>
          <w:szCs w:val="26"/>
        </w:rPr>
        <w:t xml:space="preserve">10.1 The Five Principles</w:t>
      </w:r>
    </w:p>
    <w:p>
      <w:pPr>
        <w:spacing w:after="120"/>
        <w:jc w:val="left"/>
      </w:pPr>
      <w:r>
        <w:rPr>
          <w:rFonts w:ascii="Arial" w:cs="Arial" w:eastAsia="Arial" w:hAnsi="Arial"/>
          <w:color w:val="4A4A4A"/>
          <w:sz w:val="22"/>
          <w:szCs w:val="22"/>
        </w:rPr>
        <w:t xml:space="preserve">FORGE’s prompt engineering methodology is codified as five protocol-grade requirements:</w:t>
      </w:r>
    </w:p>
    <w:p>
      <w:pPr>
        <w:spacing w:after="80"/>
      </w:pPr>
    </w:p>
    <w:p>
      <w:pPr>
        <w:pStyle w:val="ListParagraph"/>
        <w:numPr>
          <w:ilvl w:val="0"/>
          <w:numId w:val="2"/>
        </w:numPr>
        <w:spacing w:after="80"/>
      </w:pPr>
      <w:r>
        <w:rPr>
          <w:rFonts w:ascii="Arial" w:cs="Arial" w:eastAsia="Arial" w:hAnsi="Arial"/>
          <w:color w:val="4A4A4A"/>
          <w:sz w:val="22"/>
          <w:szCs w:val="22"/>
        </w:rPr>
        <w:t xml:space="preserve">Clarity: Every prompt must have a single, unambiguous objective.</w:t>
      </w:r>
    </w:p>
    <w:p>
      <w:pPr>
        <w:pStyle w:val="ListParagraph"/>
        <w:numPr>
          <w:ilvl w:val="0"/>
          <w:numId w:val="2"/>
        </w:numPr>
        <w:spacing w:after="80"/>
      </w:pPr>
      <w:r>
        <w:rPr>
          <w:rFonts w:ascii="Arial" w:cs="Arial" w:eastAsia="Arial" w:hAnsi="Arial"/>
          <w:color w:val="4A4A4A"/>
          <w:sz w:val="22"/>
          <w:szCs w:val="22"/>
        </w:rPr>
        <w:t xml:space="preserve">Context: The prompt must provide sufficient background for the model to reason correctly.</w:t>
      </w:r>
    </w:p>
    <w:p>
      <w:pPr>
        <w:pStyle w:val="ListParagraph"/>
        <w:numPr>
          <w:ilvl w:val="0"/>
          <w:numId w:val="2"/>
        </w:numPr>
        <w:spacing w:after="80"/>
      </w:pPr>
      <w:r>
        <w:rPr>
          <w:rFonts w:ascii="Arial" w:cs="Arial" w:eastAsia="Arial" w:hAnsi="Arial"/>
          <w:color w:val="4A4A4A"/>
          <w:sz w:val="22"/>
          <w:szCs w:val="22"/>
        </w:rPr>
        <w:t xml:space="preserve">Constraints: Explicit boundaries prevent the model from drifting into unhelpful territory.</w:t>
      </w:r>
    </w:p>
    <w:p>
      <w:pPr>
        <w:pStyle w:val="ListParagraph"/>
        <w:numPr>
          <w:ilvl w:val="0"/>
          <w:numId w:val="2"/>
        </w:numPr>
        <w:spacing w:after="80"/>
      </w:pPr>
      <w:r>
        <w:rPr>
          <w:rFonts w:ascii="Arial" w:cs="Arial" w:eastAsia="Arial" w:hAnsi="Arial"/>
          <w:color w:val="4A4A4A"/>
          <w:sz w:val="22"/>
          <w:szCs w:val="22"/>
        </w:rPr>
        <w:t xml:space="preserve">Verification: Every output must be testable against the original objective.</w:t>
      </w:r>
    </w:p>
    <w:p>
      <w:pPr>
        <w:pStyle w:val="ListParagraph"/>
        <w:numPr>
          <w:ilvl w:val="0"/>
          <w:numId w:val="2"/>
        </w:numPr>
        <w:spacing w:after="80"/>
      </w:pPr>
      <w:r>
        <w:rPr>
          <w:rFonts w:ascii="Arial" w:cs="Arial" w:eastAsia="Arial" w:hAnsi="Arial"/>
          <w:color w:val="4A4A4A"/>
          <w:sz w:val="22"/>
          <w:szCs w:val="22"/>
        </w:rPr>
        <w:t xml:space="preserve">Iteration: No prompt is production-ready without at least three revision cycles.</w:t>
      </w:r>
    </w:p>
    <w:p>
      <w:pPr>
        <w:spacing w:after="80"/>
      </w:pPr>
    </w:p>
    <w:p>
      <w:pPr>
        <w:pStyle w:val="Heading2"/>
        <w:spacing w:before="300" w:after="150"/>
      </w:pPr>
      <w:r>
        <w:rPr>
          <w:rFonts w:ascii="Arial" w:cs="Arial" w:eastAsia="Arial" w:hAnsi="Arial"/>
          <w:b/>
          <w:bCs/>
          <w:color w:val="00838F"/>
          <w:sz w:val="26"/>
          <w:szCs w:val="26"/>
        </w:rPr>
        <w:t xml:space="preserve">10.2 FORGE as Consumer Product</w:t>
      </w:r>
    </w:p>
    <w:p>
      <w:pPr>
        <w:spacing w:after="120"/>
        <w:jc w:val="left"/>
      </w:pPr>
      <w:r>
        <w:rPr>
          <w:rFonts w:ascii="Arial" w:cs="Arial" w:eastAsia="Arial" w:hAnsi="Arial"/>
          <w:color w:val="4A4A4A"/>
          <w:sz w:val="22"/>
          <w:szCs w:val="22"/>
        </w:rPr>
        <w:t xml:space="preserve">FORGE serves two audiences. Internally, it is the system that generates and tests every prompt used by the Collective. Externally, it is a potential consumer-facing product that teaches prompt engineering methodology through an interactive interface. The BULLSEYE website is designed to incorporate FORGE as a clickable application node, enabling visitors to experience the platform’s prompt engineering approach directly.</w:t>
      </w:r>
    </w:p>
    <w:p>
      <w:r>
        <w:br w:type="page"/>
      </w:r>
    </w:p>
    <w:p>
      <w:pPr>
        <w:pStyle w:val="Heading1"/>
        <w:spacing w:before="400" w:after="200"/>
      </w:pPr>
      <w:r>
        <w:rPr>
          <w:rFonts w:ascii="Arial" w:cs="Arial" w:eastAsia="Arial" w:hAnsi="Arial"/>
          <w:b/>
          <w:bCs/>
          <w:color w:val="1A1A2E"/>
          <w:sz w:val="32"/>
          <w:szCs w:val="32"/>
        </w:rPr>
        <w:t xml:space="preserve">11. The BULLSEYE: Platform Architecture</w:t>
      </w:r>
    </w:p>
    <w:p>
      <w:pPr>
        <w:spacing w:after="80"/>
      </w:pPr>
    </w:p>
    <w:p>
      <w:pPr>
        <w:spacing w:after="120"/>
        <w:jc w:val="left"/>
      </w:pPr>
      <w:r>
        <w:rPr>
          <w:rFonts w:ascii="Arial" w:cs="Arial" w:eastAsia="Arial" w:hAnsi="Arial"/>
          <w:color w:val="4A4A4A"/>
          <w:sz w:val="22"/>
          <w:szCs w:val="22"/>
        </w:rPr>
        <w:t xml:space="preserve">The BULLSEYE is the visual identity and operational architecture of the A2E platform. It is a concentric-ring diagram where each ring represents a layer of the system, and each node within a ring is clickable — linking to documentation, live tools, API status, and operational dashboards. The BULLSEYE is not a diagram OF the platform. It IS the platform.</w:t>
      </w:r>
    </w:p>
    <w:p>
      <w:pPr>
        <w:spacing w:after="80"/>
      </w:pPr>
    </w:p>
    <w:p>
      <w:pPr>
        <w:pStyle w:val="Heading2"/>
        <w:spacing w:before="300" w:after="150"/>
      </w:pPr>
      <w:r>
        <w:rPr>
          <w:rFonts w:ascii="Arial" w:cs="Arial" w:eastAsia="Arial" w:hAnsi="Arial"/>
          <w:b/>
          <w:bCs/>
          <w:color w:val="00838F"/>
          <w:sz w:val="26"/>
          <w:szCs w:val="26"/>
        </w:rPr>
        <w:t xml:space="preserve">11.1 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800"/>
        <w:gridCol w:w="5760"/>
      </w:tblGrid>
      <w:tr>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Ring</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Nodes</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METATRON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Central orchestration — the brain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COLLECTIVE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The seven agents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PROTOCOL STACK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Rules: Cascade, IRONCLAD, PHOENIX, FORGE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CAPABILITIES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Market intelligence, data feeds, analysis tools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INFRASTRUCTURE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Operations, trade execution, integration protocols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APPLICATIONS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User-facing tools: FORGE, HUNTER dashboard, WATCH PAGE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SECURITY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12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Authentication, authorization, encryption, compliance</w:t>
            </w:r>
          </w:p>
        </w:tc>
      </w:tr>
    </w:tbl>
    <w:p>
      <w:pPr>
        <w:spacing w:after="80"/>
      </w:pPr>
    </w:p>
    <w:p>
      <w:pPr>
        <w:spacing w:after="120"/>
        <w:jc w:val="left"/>
      </w:pPr>
      <w:r>
        <w:rPr>
          <w:rFonts w:ascii="Arial" w:cs="Arial" w:eastAsia="Arial" w:hAnsi="Arial"/>
          <w:color w:val="4A4A4A"/>
          <w:sz w:val="22"/>
          <w:szCs w:val="22"/>
        </w:rPr>
        <w:t xml:space="preserve">Total clickable nodes: 53. Each node is a living component of the platform, not a static label. Click an agent and see its performance history. Click a protocol and read its version changelog. Click a capability and see its API status. Click a security domain and see compliance status.</w:t>
      </w:r>
    </w:p>
    <w:p>
      <w:pPr>
        <w:spacing w:after="80"/>
      </w:pPr>
    </w:p>
    <w:p>
      <w:pPr>
        <w:pStyle w:val="Heading2"/>
        <w:spacing w:before="300" w:after="150"/>
      </w:pPr>
      <w:r>
        <w:rPr>
          <w:rFonts w:ascii="Arial" w:cs="Arial" w:eastAsia="Arial" w:hAnsi="Arial"/>
          <w:b/>
          <w:bCs/>
          <w:color w:val="00838F"/>
          <w:sz w:val="26"/>
          <w:szCs w:val="26"/>
        </w:rPr>
        <w:t xml:space="preserve">11.2 MCP Server Mapping</w:t>
      </w:r>
    </w:p>
    <w:p>
      <w:pPr>
        <w:spacing w:after="120"/>
        <w:jc w:val="left"/>
      </w:pPr>
      <w:r>
        <w:rPr>
          <w:rFonts w:ascii="Arial" w:cs="Arial" w:eastAsia="Arial" w:hAnsi="Arial"/>
          <w:color w:val="4A4A4A"/>
          <w:sz w:val="22"/>
          <w:szCs w:val="22"/>
        </w:rPr>
        <w:t xml:space="preserve">Four MCP (Model Context Protocol) servers are planned, mapped directly to BULLSEYE rings: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500"/>
        <w:gridCol w:w="28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MCP Server</w:t>
            </w:r>
          </w:p>
        </w:tc>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Ring</w:t>
            </w:r>
          </w:p>
        </w:tc>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metatron-mcp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0–1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Protocol + agent orchestration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market-intel-mcp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Live market data, HUNTER integration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Highest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trade-ops-mcp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Trade logging, portfolio state, execution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protocol-mcp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Version management, gate configuration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Low</w:t>
            </w:r>
          </w:p>
        </w:tc>
      </w:tr>
    </w:tbl>
    <w:p>
      <w:pPr>
        <w:spacing w:after="80"/>
      </w:pPr>
    </w:p>
    <w:p>
      <w:pPr>
        <w:pStyle w:val="Heading2"/>
        <w:spacing w:before="300" w:after="150"/>
      </w:pPr>
      <w:r>
        <w:rPr>
          <w:rFonts w:ascii="Arial" w:cs="Arial" w:eastAsia="Arial" w:hAnsi="Arial"/>
          <w:b/>
          <w:bCs/>
          <w:color w:val="00838F"/>
          <w:sz w:val="26"/>
          <w:szCs w:val="26"/>
        </w:rPr>
        <w:t xml:space="preserve">11.3 The Website</w:t>
      </w:r>
    </w:p>
    <w:p>
      <w:pPr>
        <w:spacing w:after="120"/>
        <w:jc w:val="left"/>
      </w:pPr>
      <w:r>
        <w:rPr>
          <w:rFonts w:ascii="Arial" w:cs="Arial" w:eastAsia="Arial" w:hAnsi="Arial"/>
          <w:color w:val="4A4A4A"/>
          <w:sz w:val="22"/>
          <w:szCs w:val="22"/>
        </w:rPr>
        <w:t xml:space="preserve">The BULLSEYE diagram is the ashes2echoes.com website. Not a page within the site — the site itself. Visitors interact with the concentric rings, exploring capabilities, reading protocols, testing FORGE, and understanding the architecture through direct engagement. The Metatron sacred geometry cube (teal glow on gray background) serves as the official trademark and branding element.</w:t>
      </w:r>
    </w:p>
    <w:p>
      <w:r>
        <w:br w:type="page"/>
      </w:r>
    </w:p>
    <w:p>
      <w:pPr>
        <w:pStyle w:val="Heading1"/>
        <w:spacing w:before="400" w:after="200"/>
      </w:pPr>
      <w:r>
        <w:rPr>
          <w:rFonts w:ascii="Arial" w:cs="Arial" w:eastAsia="Arial" w:hAnsi="Arial"/>
          <w:b/>
          <w:bCs/>
          <w:color w:val="1A1A2E"/>
          <w:sz w:val="32"/>
          <w:szCs w:val="32"/>
        </w:rPr>
        <w:t xml:space="preserve">12. The Enforcement Gap: A White Paper on Corporate AI</w:t>
      </w:r>
    </w:p>
    <w:p>
      <w:pPr>
        <w:spacing w:after="80"/>
      </w:pPr>
    </w:p>
    <w:p>
      <w:pPr>
        <w:spacing w:after="120"/>
        <w:jc w:val="left"/>
      </w:pPr>
      <w:r>
        <w:rPr>
          <w:rFonts w:ascii="Arial" w:cs="Arial" w:eastAsia="Arial" w:hAnsi="Arial"/>
          <w:color w:val="4A4A4A"/>
          <w:sz w:val="22"/>
          <w:szCs w:val="22"/>
        </w:rPr>
        <w:t xml:space="preserve">This section presents the core thesis that distinguishes A2E from the broader AI industry: the gap between what AI promises in conversation and what it delivers in execution is structural, not behavioral, and can only be solved with pipeline architecture.</w:t>
      </w:r>
    </w:p>
    <w:p>
      <w:pPr>
        <w:spacing w:after="80"/>
      </w:pPr>
    </w:p>
    <w:p>
      <w:pPr>
        <w:pStyle w:val="Heading2"/>
        <w:spacing w:before="300" w:after="150"/>
      </w:pPr>
      <w:r>
        <w:rPr>
          <w:rFonts w:ascii="Arial" w:cs="Arial" w:eastAsia="Arial" w:hAnsi="Arial"/>
          <w:b/>
          <w:bCs/>
          <w:color w:val="00838F"/>
          <w:sz w:val="26"/>
          <w:szCs w:val="26"/>
        </w:rPr>
        <w:t xml:space="preserve">12.1 The Lie</w:t>
      </w:r>
    </w:p>
    <w:p>
      <w:pPr>
        <w:spacing w:after="120"/>
        <w:jc w:val="left"/>
      </w:pPr>
      <w:r>
        <w:rPr>
          <w:rFonts w:ascii="Arial" w:cs="Arial" w:eastAsia="Arial" w:hAnsi="Arial"/>
          <w:color w:val="4A4A4A"/>
          <w:sz w:val="22"/>
          <w:szCs w:val="22"/>
        </w:rPr>
        <w:t xml:space="preserve">Enterprise AI adoption follows a predictable pattern. A company purchases a subscription to an AI platform. Employees use it through a chat interface. Results vary dramatically. When the AI produces something useful, it is celebrated. When it produces something wrong, it is blamed on the user’s prompting skills. Nobody asks whether the architecture itself is capable of consistent, verifiable output.</w:t>
      </w:r>
    </w:p>
    <w:p>
      <w:pPr>
        <w:spacing w:after="120"/>
        <w:jc w:val="left"/>
      </w:pPr>
      <w:r>
        <w:rPr>
          <w:rFonts w:ascii="Arial" w:cs="Arial" w:eastAsia="Arial" w:hAnsi="Arial"/>
          <w:color w:val="4A4A4A"/>
          <w:sz w:val="22"/>
          <w:szCs w:val="22"/>
        </w:rPr>
        <w:t xml:space="preserve">The subscription is not the product. The API is not the product. The model is not the product. The wrapper — the interface, the integration, the enforcement layer — is the product. And most wrappers are empty shells that pass user text to a model and display whatever comes back.</w:t>
      </w:r>
    </w:p>
    <w:p>
      <w:pPr>
        <w:spacing w:after="80"/>
      </w:pPr>
    </w:p>
    <w:p>
      <w:pPr>
        <w:pStyle w:val="Heading2"/>
        <w:spacing w:before="300" w:after="150"/>
      </w:pPr>
      <w:r>
        <w:rPr>
          <w:rFonts w:ascii="Arial" w:cs="Arial" w:eastAsia="Arial" w:hAnsi="Arial"/>
          <w:b/>
          <w:bCs/>
          <w:color w:val="00838F"/>
          <w:sz w:val="26"/>
          <w:szCs w:val="26"/>
        </w:rPr>
        <w:t xml:space="preserve">12.2 The Corporate Blindspot</w:t>
      </w:r>
    </w:p>
    <w:p>
      <w:pPr>
        <w:spacing w:after="120"/>
        <w:jc w:val="left"/>
      </w:pPr>
      <w:r>
        <w:rPr>
          <w:rFonts w:ascii="Arial" w:cs="Arial" w:eastAsia="Arial" w:hAnsi="Arial"/>
          <w:color w:val="4A4A4A"/>
          <w:sz w:val="22"/>
          <w:szCs w:val="22"/>
        </w:rPr>
        <w:t xml:space="preserve">Three structural problems define corporate AI adoption:</w:t>
      </w:r>
    </w:p>
    <w:p>
      <w:pPr>
        <w:spacing w:after="80"/>
      </w:pPr>
    </w:p>
    <w:p>
      <w:pPr>
        <w:spacing w:after="120"/>
      </w:pPr>
      <w:r>
        <w:rPr>
          <w:rFonts w:ascii="Arial" w:cs="Arial" w:eastAsia="Arial" w:hAnsi="Arial"/>
          <w:b/>
          <w:bCs/>
          <w:color w:val="1A1A2E"/>
          <w:sz w:val="22"/>
          <w:szCs w:val="22"/>
        </w:rPr>
        <w:t xml:space="preserve">Single-model dependency: </w:t>
      </w:r>
      <w:r>
        <w:rPr>
          <w:rFonts w:ascii="Arial" w:cs="Arial" w:eastAsia="Arial" w:hAnsi="Arial"/>
          <w:color w:val="4A4A4A"/>
          <w:sz w:val="22"/>
          <w:szCs w:val="22"/>
        </w:rPr>
        <w:t xml:space="preserve">Organizations bet their AI strategy on one provider. When that model hallucinates, drifts, or produces biased output, there is no second opinion, no counter-thesis, no verification layer. The model’s failure mode IS the organization’s failure mode.</w:t>
      </w:r>
    </w:p>
    <w:p>
      <w:pPr>
        <w:spacing w:after="120"/>
      </w:pPr>
      <w:r>
        <w:rPr>
          <w:rFonts w:ascii="Arial" w:cs="Arial" w:eastAsia="Arial" w:hAnsi="Arial"/>
          <w:b/>
          <w:bCs/>
          <w:color w:val="1A1A2E"/>
          <w:sz w:val="22"/>
          <w:szCs w:val="22"/>
        </w:rPr>
        <w:t xml:space="preserve">No enforcement architecture: </w:t>
      </w:r>
      <w:r>
        <w:rPr>
          <w:rFonts w:ascii="Arial" w:cs="Arial" w:eastAsia="Arial" w:hAnsi="Arial"/>
          <w:color w:val="4A4A4A"/>
          <w:sz w:val="22"/>
          <w:szCs w:val="22"/>
        </w:rPr>
        <w:t xml:space="preserve">Chat-based AI can be instructed but not constrained. In a conversation, a model can agree to follow 50 rules, then violate all of them on the next response if context dilution occurs. There is no structural mechanism to prevent this. The "rules" exist as text in a prompt, not as code in a pipeline.</w:t>
      </w:r>
    </w:p>
    <w:p>
      <w:pPr>
        <w:spacing w:after="120"/>
      </w:pPr>
      <w:r>
        <w:rPr>
          <w:rFonts w:ascii="Arial" w:cs="Arial" w:eastAsia="Arial" w:hAnsi="Arial"/>
          <w:b/>
          <w:bCs/>
          <w:color w:val="1A1A2E"/>
          <w:sz w:val="22"/>
          <w:szCs w:val="22"/>
        </w:rPr>
        <w:t xml:space="preserve">No audit trail: </w:t>
      </w:r>
      <w:r>
        <w:rPr>
          <w:rFonts w:ascii="Arial" w:cs="Arial" w:eastAsia="Arial" w:hAnsi="Arial"/>
          <w:color w:val="4A4A4A"/>
          <w:sz w:val="22"/>
          <w:szCs w:val="22"/>
        </w:rPr>
        <w:t xml:space="preserve">When an AI system produces a recommendation that leads to a bad outcome, most organizations cannot reconstruct how the recommendation was generated. What data did the model see? What rules was it supposed to follow? Did it actually follow them? The answer is usually unknown because the interaction happened in an ephemeral chat window.</w:t>
      </w:r>
    </w:p>
    <w:p>
      <w:pPr>
        <w:spacing w:after="80"/>
      </w:pPr>
    </w:p>
    <w:p>
      <w:pPr>
        <w:pStyle w:val="Heading2"/>
        <w:spacing w:before="300" w:after="150"/>
      </w:pPr>
      <w:r>
        <w:rPr>
          <w:rFonts w:ascii="Arial" w:cs="Arial" w:eastAsia="Arial" w:hAnsi="Arial"/>
          <w:b/>
          <w:bCs/>
          <w:color w:val="00838F"/>
          <w:sz w:val="26"/>
          <w:szCs w:val="26"/>
        </w:rPr>
        <w:t xml:space="preserve">12.3 The Solution</w:t>
      </w:r>
    </w:p>
    <w:p>
      <w:pPr>
        <w:spacing w:after="120"/>
        <w:jc w:val="left"/>
      </w:pPr>
      <w:r>
        <w:rPr>
          <w:rFonts w:ascii="Arial" w:cs="Arial" w:eastAsia="Arial" w:hAnsi="Arial"/>
          <w:color w:val="4A4A4A"/>
          <w:sz w:val="22"/>
          <w:szCs w:val="22"/>
        </w:rPr>
        <w:t xml:space="preserve">A2E’s architecture addresses all three problems:</w:t>
      </w:r>
    </w:p>
    <w:p>
      <w:pPr>
        <w:spacing w:after="80"/>
      </w:pPr>
    </w:p>
    <w:p>
      <w:pPr>
        <w:spacing w:after="120"/>
      </w:pPr>
      <w:r>
        <w:rPr>
          <w:rFonts w:ascii="Arial" w:cs="Arial" w:eastAsia="Arial" w:hAnsi="Arial"/>
          <w:b/>
          <w:bCs/>
          <w:color w:val="1A1A2E"/>
          <w:sz w:val="22"/>
          <w:szCs w:val="22"/>
        </w:rPr>
        <w:t xml:space="preserve">Multi-agent concurrence: </w:t>
      </w:r>
      <w:r>
        <w:rPr>
          <w:rFonts w:ascii="Arial" w:cs="Arial" w:eastAsia="Arial" w:hAnsi="Arial"/>
          <w:color w:val="4A4A4A"/>
          <w:sz w:val="22"/>
          <w:szCs w:val="22"/>
        </w:rPr>
        <w:t xml:space="preserve">Seven agents from six platforms. No single point of failure. Where agents disagree, the disagreement is surfaced and scored.</w:t>
      </w:r>
    </w:p>
    <w:p>
      <w:pPr>
        <w:spacing w:after="120"/>
      </w:pPr>
      <w:r>
        <w:rPr>
          <w:rFonts w:ascii="Arial" w:cs="Arial" w:eastAsia="Arial" w:hAnsi="Arial"/>
          <w:b/>
          <w:bCs/>
          <w:color w:val="1A1A2E"/>
          <w:sz w:val="22"/>
          <w:szCs w:val="22"/>
        </w:rPr>
        <w:t xml:space="preserve">Pipeline enforcement: </w:t>
      </w:r>
      <w:r>
        <w:rPr>
          <w:rFonts w:ascii="Arial" w:cs="Arial" w:eastAsia="Arial" w:hAnsi="Arial"/>
          <w:color w:val="4A4A4A"/>
          <w:sz w:val="22"/>
          <w:szCs w:val="22"/>
        </w:rPr>
        <w:t xml:space="preserve">Every gate is a separate node in an n8n workflow. The model is called via API, not conversed with. Its output is validated by the next node. Failed validation routes to error handling, not silent continuation.</w:t>
      </w:r>
    </w:p>
    <w:p>
      <w:pPr>
        <w:spacing w:after="120"/>
      </w:pPr>
      <w:r>
        <w:rPr>
          <w:rFonts w:ascii="Arial" w:cs="Arial" w:eastAsia="Arial" w:hAnsi="Arial"/>
          <w:b/>
          <w:bCs/>
          <w:color w:val="1A1A2E"/>
          <w:sz w:val="22"/>
          <w:szCs w:val="22"/>
        </w:rPr>
        <w:t xml:space="preserve">Complete audit trail: </w:t>
      </w:r>
      <w:r>
        <w:rPr>
          <w:rFonts w:ascii="Arial" w:cs="Arial" w:eastAsia="Arial" w:hAnsi="Arial"/>
          <w:color w:val="4A4A4A"/>
          <w:sz w:val="22"/>
          <w:szCs w:val="22"/>
        </w:rPr>
        <w:t xml:space="preserve">Every HUNTER scan, every agent response, every gate evaluation, every trade decision is logged with timestamps, data inputs, and decision rationale. METATRON’s evidence-before-assertion rule ensures no claim is made without supporting data.</w:t>
      </w:r>
    </w:p>
    <w:p>
      <w:pPr>
        <w:spacing w:after="80"/>
      </w:pPr>
    </w:p>
    <w:p>
      <w:pPr>
        <w:pStyle w:val="Heading2"/>
        <w:spacing w:before="300" w:after="150"/>
      </w:pPr>
      <w:r>
        <w:rPr>
          <w:rFonts w:ascii="Arial" w:cs="Arial" w:eastAsia="Arial" w:hAnsi="Arial"/>
          <w:b/>
          <w:bCs/>
          <w:color w:val="00838F"/>
          <w:sz w:val="26"/>
          <w:szCs w:val="26"/>
        </w:rPr>
        <w:t xml:space="preserve">12.4 The Market Opportunity</w:t>
      </w:r>
    </w:p>
    <w:p>
      <w:pPr>
        <w:spacing w:after="120"/>
        <w:jc w:val="left"/>
      </w:pPr>
      <w:r>
        <w:rPr>
          <w:rFonts w:ascii="Arial" w:cs="Arial" w:eastAsia="Arial" w:hAnsi="Arial"/>
          <w:color w:val="4A4A4A"/>
          <w:sz w:val="22"/>
          <w:szCs w:val="22"/>
        </w:rPr>
        <w:t xml:space="preserve">Every organization using AI for decision-making faces the enforcement gap. Financial services, healthcare, legal, defense, supply chain — any domain where AI recommendations carry real-world consequences needs the architecture A2E has built. The opportunity is not to sell AI models (the market is saturated) but to sell the enforcement, orchestration, and verification layer that makes AI models trustworthy.</w:t>
      </w:r>
    </w:p>
    <w:p>
      <w:r>
        <w:br w:type="page"/>
      </w:r>
    </w:p>
    <w:p>
      <w:pPr>
        <w:pStyle w:val="Heading1"/>
        <w:spacing w:before="400" w:after="200"/>
      </w:pPr>
      <w:r>
        <w:rPr>
          <w:rFonts w:ascii="Arial" w:cs="Arial" w:eastAsia="Arial" w:hAnsi="Arial"/>
          <w:b/>
          <w:bCs/>
          <w:color w:val="1A1A2E"/>
          <w:sz w:val="32"/>
          <w:szCs w:val="32"/>
        </w:rPr>
        <w:t xml:space="preserve">13. Business Model &amp; Revenue Architecture</w:t>
      </w:r>
    </w:p>
    <w:p>
      <w:pPr>
        <w:spacing w:after="80"/>
      </w:pPr>
    </w:p>
    <w:p>
      <w:pPr>
        <w:pStyle w:val="Heading2"/>
        <w:spacing w:before="300" w:after="150"/>
      </w:pPr>
      <w:r>
        <w:rPr>
          <w:rFonts w:ascii="Arial" w:cs="Arial" w:eastAsia="Arial" w:hAnsi="Arial"/>
          <w:b/>
          <w:bCs/>
          <w:color w:val="00838F"/>
          <w:sz w:val="26"/>
          <w:szCs w:val="26"/>
        </w:rPr>
        <w:t xml:space="preserve">13.1 Revenue Streams</w:t>
      </w:r>
    </w:p>
    <w:p>
      <w:pPr>
        <w:spacing w:after="80"/>
      </w:pPr>
    </w:p>
    <w:p>
      <w:pPr>
        <w:spacing w:after="120"/>
      </w:pPr>
      <w:r>
        <w:rPr>
          <w:rFonts w:ascii="Arial" w:cs="Arial" w:eastAsia="Arial" w:hAnsi="Arial"/>
          <w:b/>
          <w:bCs/>
          <w:color w:val="1A1A2E"/>
          <w:sz w:val="22"/>
          <w:szCs w:val="22"/>
        </w:rPr>
        <w:t xml:space="preserve">Stream 1 — Trading Operations: </w:t>
      </w:r>
      <w:r>
        <w:rPr>
          <w:rFonts w:ascii="Arial" w:cs="Arial" w:eastAsia="Arial" w:hAnsi="Arial"/>
          <w:color w:val="4A4A4A"/>
          <w:sz w:val="22"/>
          <w:szCs w:val="22"/>
        </w:rPr>
        <w:t xml:space="preserve">Active portfolio management using the AIORA system. Current portfolio: $392,762 across three E*Trade accounts with $206,762 in dry powder. Track 1 (Daily Grind, 80% allocation, 5% targets, end-of-day exit) and Track 2 (Thesis positions, 20% allocation, longer duration).</w:t>
      </w:r>
    </w:p>
    <w:p>
      <w:pPr>
        <w:spacing w:after="80"/>
      </w:pPr>
    </w:p>
    <w:p>
      <w:pPr>
        <w:spacing w:after="120"/>
      </w:pPr>
      <w:r>
        <w:rPr>
          <w:rFonts w:ascii="Arial" w:cs="Arial" w:eastAsia="Arial" w:hAnsi="Arial"/>
          <w:b/>
          <w:bCs/>
          <w:color w:val="1A1A2E"/>
          <w:sz w:val="22"/>
          <w:szCs w:val="22"/>
        </w:rPr>
        <w:t xml:space="preserve">Stream 2 — Platform Licensing: </w:t>
      </w:r>
      <w:r>
        <w:rPr>
          <w:rFonts w:ascii="Arial" w:cs="Arial" w:eastAsia="Arial" w:hAnsi="Arial"/>
          <w:color w:val="4A4A4A"/>
          <w:sz w:val="22"/>
          <w:szCs w:val="22"/>
        </w:rPr>
        <w:t xml:space="preserve">The METATRON protocol, HUNTER intelligence engine, and CIL orchestration layer as licensable technology for organizations building multi-agent AI systems. Target: financial services firms, defense contractors, enterprise decision-support applications.</w:t>
      </w:r>
    </w:p>
    <w:p>
      <w:pPr>
        <w:spacing w:after="80"/>
      </w:pPr>
    </w:p>
    <w:p>
      <w:pPr>
        <w:spacing w:after="120"/>
      </w:pPr>
      <w:r>
        <w:rPr>
          <w:rFonts w:ascii="Arial" w:cs="Arial" w:eastAsia="Arial" w:hAnsi="Arial"/>
          <w:b/>
          <w:bCs/>
          <w:color w:val="1A1A2E"/>
          <w:sz w:val="22"/>
          <w:szCs w:val="22"/>
        </w:rPr>
        <w:t xml:space="preserve">Stream 3 — Educational Content: </w:t>
      </w:r>
      <w:r>
        <w:rPr>
          <w:rFonts w:ascii="Arial" w:cs="Arial" w:eastAsia="Arial" w:hAnsi="Arial"/>
          <w:color w:val="4A4A4A"/>
          <w:sz w:val="22"/>
          <w:szCs w:val="22"/>
        </w:rPr>
        <w:t xml:space="preserve">The “From Ashes to Echoes” book, Sunday Session curriculum, BULLSEYE website, and FORGE platform as educational products teaching AI-assisted decision-making methodology. Target: independent traders, small businesses, veterans and career-transition professionals.</w:t>
      </w:r>
    </w:p>
    <w:p>
      <w:pPr>
        <w:spacing w:after="80"/>
      </w:pPr>
    </w:p>
    <w:p>
      <w:pPr>
        <w:spacing w:after="120"/>
      </w:pPr>
      <w:r>
        <w:rPr>
          <w:rFonts w:ascii="Arial" w:cs="Arial" w:eastAsia="Arial" w:hAnsi="Arial"/>
          <w:b/>
          <w:bCs/>
          <w:color w:val="1A1A2E"/>
          <w:sz w:val="22"/>
          <w:szCs w:val="22"/>
        </w:rPr>
        <w:t xml:space="preserve">Stream 4 — Consulting: </w:t>
      </w:r>
      <w:r>
        <w:rPr>
          <w:rFonts w:ascii="Arial" w:cs="Arial" w:eastAsia="Arial" w:hAnsi="Arial"/>
          <w:color w:val="4A4A4A"/>
          <w:sz w:val="22"/>
          <w:szCs w:val="22"/>
        </w:rPr>
        <w:t xml:space="preserve">Implementation services for organizations wanting to deploy multi-agent AI architectures. Leveraging 40+ years of defense engineering program management experience with modern AI orchestration expertise.</w:t>
      </w:r>
    </w:p>
    <w:p>
      <w:pPr>
        <w:spacing w:after="80"/>
      </w:pPr>
    </w:p>
    <w:p>
      <w:pPr>
        <w:pStyle w:val="Heading2"/>
        <w:spacing w:before="300" w:after="150"/>
      </w:pPr>
      <w:r>
        <w:rPr>
          <w:rFonts w:ascii="Arial" w:cs="Arial" w:eastAsia="Arial" w:hAnsi="Arial"/>
          <w:b/>
          <w:bCs/>
          <w:color w:val="00838F"/>
          <w:sz w:val="26"/>
          <w:szCs w:val="26"/>
        </w:rPr>
        <w:t xml:space="preserve">13.2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Monthly Cost</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n8n Cloud (Pro)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Workflow automation, HUNTER/CIL execution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Claude Pro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MICHA primary interface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ChatGPT Plus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URIEL strategic analysis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Grok Premium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COLOSSUS technical analysis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Perplexity Pro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SERAPH real-time intelligence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Gemini Advanced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HANIEL deep research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DeepSeek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RAZIEL counter-thesis (free tier)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API Costs (misc)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~$50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Finnhub, TwelveData, NewsAPI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GitHub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Version control (free tier)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TOTAL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~$202/month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Full Collective operational cost</w:t>
            </w:r>
          </w:p>
        </w:tc>
      </w:tr>
    </w:tbl>
    <w:p>
      <w:pPr>
        <w:spacing w:after="80"/>
      </w:pPr>
    </w:p>
    <w:p>
      <w:pPr>
        <w:spacing w:after="120"/>
        <w:jc w:val="left"/>
      </w:pPr>
      <w:r>
        <w:rPr>
          <w:rFonts w:ascii="Arial" w:cs="Arial" w:eastAsia="Arial" w:hAnsi="Arial"/>
          <w:color w:val="4A4A4A"/>
          <w:sz w:val="22"/>
          <w:szCs w:val="22"/>
        </w:rPr>
        <w:t xml:space="preserve">The entire Collective operates for approximately $200 per month. An equivalent human analyst team providing the same coverage (market intelligence, counter-thesis analysis, technical charting, political intelligence, real-time news monitoring, workflow automation, and protocol enforcement) would cost $500,000+ annually. The leverage ratio is approximately 200:1.</w:t>
      </w:r>
    </w:p>
    <w:p>
      <w:pPr>
        <w:spacing w:after="80"/>
      </w:pPr>
    </w:p>
    <w:p>
      <w:pPr>
        <w:pStyle w:val="Heading2"/>
        <w:spacing w:before="300" w:after="150"/>
      </w:pPr>
      <w:r>
        <w:rPr>
          <w:rFonts w:ascii="Arial" w:cs="Arial" w:eastAsia="Arial" w:hAnsi="Arial"/>
          <w:b/>
          <w:bCs/>
          <w:color w:val="00838F"/>
          <w:sz w:val="26"/>
          <w:szCs w:val="26"/>
        </w:rPr>
        <w:t xml:space="preserve">13.3 Funding Strategy</w:t>
      </w:r>
    </w:p>
    <w:p>
      <w:pPr>
        <w:spacing w:after="120"/>
        <w:jc w:val="left"/>
      </w:pPr>
      <w:r>
        <w:rPr>
          <w:rFonts w:ascii="Arial" w:cs="Arial" w:eastAsia="Arial" w:hAnsi="Arial"/>
          <w:color w:val="4A4A4A"/>
          <w:sz w:val="22"/>
          <w:szCs w:val="22"/>
        </w:rPr>
        <w:t xml:space="preserve">A2E operates on self-funded capital. Grant opportunities include SBIR/STTR (currently paused, monitoring for reauthorization), Virginia SBIG, VIPC innovation funding, and Section 41 R&amp;D tax credits. SAM.gov registration is pending for federal grant eligibility. All development qualifies as R&amp;D under IRS Section 174, with GitHub commit history serving as documentation.</w:t>
      </w:r>
    </w:p>
    <w:p>
      <w:r>
        <w:br w:type="page"/>
      </w:r>
    </w:p>
    <w:p>
      <w:pPr>
        <w:pStyle w:val="Heading1"/>
        <w:spacing w:before="400" w:after="200"/>
      </w:pPr>
      <w:r>
        <w:rPr>
          <w:rFonts w:ascii="Arial" w:cs="Arial" w:eastAsia="Arial" w:hAnsi="Arial"/>
          <w:b/>
          <w:bCs/>
          <w:color w:val="1A1A2E"/>
          <w:sz w:val="32"/>
          <w:szCs w:val="32"/>
        </w:rPr>
        <w:t xml:space="preserve">14. Technical Roadmap</w:t>
      </w:r>
    </w:p>
    <w:p>
      <w:pPr>
        <w:spacing w:after="80"/>
      </w:pPr>
    </w:p>
    <w:p>
      <w:pPr>
        <w:pStyle w:val="Heading2"/>
        <w:spacing w:before="300" w:after="150"/>
      </w:pPr>
      <w:r>
        <w:rPr>
          <w:rFonts w:ascii="Arial" w:cs="Arial" w:eastAsia="Arial" w:hAnsi="Arial"/>
          <w:b/>
          <w:bCs/>
          <w:color w:val="00838F"/>
          <w:sz w:val="26"/>
          <w:szCs w:val="26"/>
        </w:rPr>
        <w:t xml:space="preserve">14.1 Immediate (Q1 2026)</w:t>
      </w:r>
    </w:p>
    <w:p>
      <w:pPr>
        <w:pStyle w:val="ListParagraph"/>
        <w:numPr>
          <w:ilvl w:val="0"/>
          <w:numId w:val="3"/>
        </w:numPr>
        <w:spacing w:after="80"/>
      </w:pPr>
      <w:r>
        <w:rPr>
          <w:rFonts w:ascii="Arial" w:cs="Arial" w:eastAsia="Arial" w:hAnsi="Arial"/>
          <w:color w:val="4A4A4A"/>
          <w:sz w:val="22"/>
          <w:szCs w:val="22"/>
        </w:rPr>
        <w:t xml:space="preserve">Complete CIL v6.0 build and end-to-end validation</w:t>
      </w:r>
    </w:p>
    <w:p>
      <w:pPr>
        <w:pStyle w:val="ListParagraph"/>
        <w:numPr>
          <w:ilvl w:val="0"/>
          <w:numId w:val="3"/>
        </w:numPr>
        <w:spacing w:after="80"/>
      </w:pPr>
      <w:r>
        <w:rPr>
          <w:rFonts w:ascii="Arial" w:cs="Arial" w:eastAsia="Arial" w:hAnsi="Arial"/>
          <w:color w:val="4A4A4A"/>
          <w:sz w:val="22"/>
          <w:szCs w:val="22"/>
        </w:rPr>
        <w:t xml:space="preserve">Build H37/H38/H39 correlation nodes in n8n</w:t>
      </w:r>
    </w:p>
    <w:p>
      <w:pPr>
        <w:pStyle w:val="ListParagraph"/>
        <w:numPr>
          <w:ilvl w:val="0"/>
          <w:numId w:val="3"/>
        </w:numPr>
        <w:spacing w:after="80"/>
      </w:pPr>
      <w:r>
        <w:rPr>
          <w:rFonts w:ascii="Arial" w:cs="Arial" w:eastAsia="Arial" w:hAnsi="Arial"/>
          <w:color w:val="4A4A4A"/>
          <w:sz w:val="22"/>
          <w:szCs w:val="22"/>
        </w:rPr>
        <w:t xml:space="preserve">Deploy Correlation Kill Switch with Telegram alerting</w:t>
      </w:r>
    </w:p>
    <w:p>
      <w:pPr>
        <w:pStyle w:val="ListParagraph"/>
        <w:numPr>
          <w:ilvl w:val="0"/>
          <w:numId w:val="3"/>
        </w:numPr>
        <w:spacing w:after="80"/>
      </w:pPr>
      <w:r>
        <w:rPr>
          <w:rFonts w:ascii="Arial" w:cs="Arial" w:eastAsia="Arial" w:hAnsi="Arial"/>
          <w:color w:val="4A4A4A"/>
          <w:sz w:val="22"/>
          <w:szCs w:val="22"/>
        </w:rPr>
        <w:t xml:space="preserve">Backtest correlation modules against March 2–3 and Feb 9–13 data</w:t>
      </w:r>
    </w:p>
    <w:p>
      <w:pPr>
        <w:pStyle w:val="ListParagraph"/>
        <w:numPr>
          <w:ilvl w:val="0"/>
          <w:numId w:val="3"/>
        </w:numPr>
        <w:spacing w:after="80"/>
      </w:pPr>
      <w:r>
        <w:rPr>
          <w:rFonts w:ascii="Arial" w:cs="Arial" w:eastAsia="Arial" w:hAnsi="Arial"/>
          <w:color w:val="4A4A4A"/>
          <w:sz w:val="22"/>
          <w:szCs w:val="22"/>
        </w:rPr>
        <w:t xml:space="preserve">E*Trade MCP connection for automated trade execution</w:t>
      </w:r>
    </w:p>
    <w:p>
      <w:pPr>
        <w:pStyle w:val="ListParagraph"/>
        <w:numPr>
          <w:ilvl w:val="0"/>
          <w:numId w:val="3"/>
        </w:numPr>
        <w:spacing w:after="80"/>
      </w:pPr>
      <w:r>
        <w:rPr>
          <w:rFonts w:ascii="Arial" w:cs="Arial" w:eastAsia="Arial" w:hAnsi="Arial"/>
          <w:color w:val="4A4A4A"/>
          <w:sz w:val="22"/>
          <w:szCs w:val="22"/>
        </w:rPr>
        <w:t xml:space="preserve">Claude Projects setup (Collective Intelligence as first project)</w:t>
      </w:r>
    </w:p>
    <w:p>
      <w:pPr>
        <w:spacing w:after="80"/>
      </w:pPr>
    </w:p>
    <w:p>
      <w:pPr>
        <w:pStyle w:val="Heading2"/>
        <w:spacing w:before="300" w:after="150"/>
      </w:pPr>
      <w:r>
        <w:rPr>
          <w:rFonts w:ascii="Arial" w:cs="Arial" w:eastAsia="Arial" w:hAnsi="Arial"/>
          <w:b/>
          <w:bCs/>
          <w:color w:val="00838F"/>
          <w:sz w:val="26"/>
          <w:szCs w:val="26"/>
        </w:rPr>
        <w:t xml:space="preserve">14.2 Near-Term (Q2 2026)</w:t>
      </w:r>
    </w:p>
    <w:p>
      <w:pPr>
        <w:pStyle w:val="ListParagraph"/>
        <w:numPr>
          <w:ilvl w:val="0"/>
          <w:numId w:val="3"/>
        </w:numPr>
        <w:spacing w:after="80"/>
      </w:pPr>
      <w:r>
        <w:rPr>
          <w:rFonts w:ascii="Arial" w:cs="Arial" w:eastAsia="Arial" w:hAnsi="Arial"/>
          <w:color w:val="4A4A4A"/>
          <w:sz w:val="22"/>
          <w:szCs w:val="22"/>
        </w:rPr>
        <w:t xml:space="preserve">HUNTER v3.0 with 39 modules fully operational</w:t>
      </w:r>
    </w:p>
    <w:p>
      <w:pPr>
        <w:pStyle w:val="ListParagraph"/>
        <w:numPr>
          <w:ilvl w:val="0"/>
          <w:numId w:val="3"/>
        </w:numPr>
        <w:spacing w:after="80"/>
      </w:pPr>
      <w:r>
        <w:rPr>
          <w:rFonts w:ascii="Arial" w:cs="Arial" w:eastAsia="Arial" w:hAnsi="Arial"/>
          <w:color w:val="4A4A4A"/>
          <w:sz w:val="22"/>
          <w:szCs w:val="22"/>
        </w:rPr>
        <w:t xml:space="preserve">CIL v7.0 with Telegram voice alerts and morning brief</w:t>
      </w:r>
    </w:p>
    <w:p>
      <w:pPr>
        <w:pStyle w:val="ListParagraph"/>
        <w:numPr>
          <w:ilvl w:val="0"/>
          <w:numId w:val="3"/>
        </w:numPr>
        <w:spacing w:after="80"/>
      </w:pPr>
      <w:r>
        <w:rPr>
          <w:rFonts w:ascii="Arial" w:cs="Arial" w:eastAsia="Arial" w:hAnsi="Arial"/>
          <w:color w:val="4A4A4A"/>
          <w:sz w:val="22"/>
          <w:szCs w:val="22"/>
        </w:rPr>
        <w:t xml:space="preserve">SENTINEL Stack v1.0 (Reddit DD Scanner, Social Sentiment, GEX Monitor)</w:t>
      </w:r>
    </w:p>
    <w:p>
      <w:pPr>
        <w:pStyle w:val="ListParagraph"/>
        <w:numPr>
          <w:ilvl w:val="0"/>
          <w:numId w:val="3"/>
        </w:numPr>
        <w:spacing w:after="80"/>
      </w:pPr>
      <w:r>
        <w:rPr>
          <w:rFonts w:ascii="Arial" w:cs="Arial" w:eastAsia="Arial" w:hAnsi="Arial"/>
          <w:color w:val="4A4A4A"/>
          <w:sz w:val="22"/>
          <w:szCs w:val="22"/>
        </w:rPr>
        <w:t xml:space="preserve">BULLSEYE website v1.0 on ashes2echoes.com</w:t>
      </w:r>
    </w:p>
    <w:p>
      <w:pPr>
        <w:pStyle w:val="ListParagraph"/>
        <w:numPr>
          <w:ilvl w:val="0"/>
          <w:numId w:val="3"/>
        </w:numPr>
        <w:spacing w:after="80"/>
      </w:pPr>
      <w:r>
        <w:rPr>
          <w:rFonts w:ascii="Arial" w:cs="Arial" w:eastAsia="Arial" w:hAnsi="Arial"/>
          <w:color w:val="4A4A4A"/>
          <w:sz w:val="22"/>
          <w:szCs w:val="22"/>
        </w:rPr>
        <w:t xml:space="preserve">FORGE v2.0 deployed as interactive web application</w:t>
      </w:r>
    </w:p>
    <w:p>
      <w:pPr>
        <w:pStyle w:val="ListParagraph"/>
        <w:numPr>
          <w:ilvl w:val="0"/>
          <w:numId w:val="3"/>
        </w:numPr>
        <w:spacing w:after="80"/>
      </w:pPr>
      <w:r>
        <w:rPr>
          <w:rFonts w:ascii="Arial" w:cs="Arial" w:eastAsia="Arial" w:hAnsi="Arial"/>
          <w:color w:val="4A4A4A"/>
          <w:sz w:val="22"/>
          <w:szCs w:val="22"/>
        </w:rPr>
        <w:t xml:space="preserve">XSP paper trading with options learning path</w:t>
      </w:r>
    </w:p>
    <w:p>
      <w:pPr>
        <w:spacing w:after="80"/>
      </w:pPr>
    </w:p>
    <w:p>
      <w:pPr>
        <w:pStyle w:val="Heading2"/>
        <w:spacing w:before="300" w:after="150"/>
      </w:pPr>
      <w:r>
        <w:rPr>
          <w:rFonts w:ascii="Arial" w:cs="Arial" w:eastAsia="Arial" w:hAnsi="Arial"/>
          <w:b/>
          <w:bCs/>
          <w:color w:val="00838F"/>
          <w:sz w:val="26"/>
          <w:szCs w:val="26"/>
        </w:rPr>
        <w:t xml:space="preserve">14.3 Medium-Term (Q3–Q4 2026)</w:t>
      </w:r>
    </w:p>
    <w:p>
      <w:pPr>
        <w:pStyle w:val="ListParagraph"/>
        <w:numPr>
          <w:ilvl w:val="0"/>
          <w:numId w:val="3"/>
        </w:numPr>
        <w:spacing w:after="80"/>
      </w:pPr>
      <w:r>
        <w:rPr>
          <w:rFonts w:ascii="Arial" w:cs="Arial" w:eastAsia="Arial" w:hAnsi="Arial"/>
          <w:color w:val="4A4A4A"/>
          <w:sz w:val="22"/>
          <w:szCs w:val="22"/>
        </w:rPr>
        <w:t xml:space="preserve">MCP servers deployed (4 servers mapped to BULLSEYE rings)</w:t>
      </w:r>
    </w:p>
    <w:p>
      <w:pPr>
        <w:pStyle w:val="ListParagraph"/>
        <w:numPr>
          <w:ilvl w:val="0"/>
          <w:numId w:val="3"/>
        </w:numPr>
        <w:spacing w:after="80"/>
      </w:pPr>
      <w:r>
        <w:rPr>
          <w:rFonts w:ascii="Arial" w:cs="Arial" w:eastAsia="Arial" w:hAnsi="Arial"/>
          <w:color w:val="4A4A4A"/>
          <w:sz w:val="22"/>
          <w:szCs w:val="22"/>
        </w:rPr>
        <w:t xml:space="preserve">Layered routing architecture (Opus/Sonnet/Haiku tiering)</w:t>
      </w:r>
    </w:p>
    <w:p>
      <w:pPr>
        <w:pStyle w:val="ListParagraph"/>
        <w:numPr>
          <w:ilvl w:val="0"/>
          <w:numId w:val="3"/>
        </w:numPr>
        <w:spacing w:after="80"/>
      </w:pPr>
      <w:r>
        <w:rPr>
          <w:rFonts w:ascii="Arial" w:cs="Arial" w:eastAsia="Arial" w:hAnsi="Arial"/>
          <w:color w:val="4A4A4A"/>
          <w:sz w:val="22"/>
          <w:szCs w:val="22"/>
        </w:rPr>
        <w:t xml:space="preserve">WATCH PAGE real-time thesis tracker with WebSocket streaming</w:t>
      </w:r>
    </w:p>
    <w:p>
      <w:pPr>
        <w:pStyle w:val="ListParagraph"/>
        <w:numPr>
          <w:ilvl w:val="0"/>
          <w:numId w:val="3"/>
        </w:numPr>
        <w:spacing w:after="80"/>
      </w:pPr>
      <w:r>
        <w:rPr>
          <w:rFonts w:ascii="Arial" w:cs="Arial" w:eastAsia="Arial" w:hAnsi="Arial"/>
          <w:color w:val="4A4A4A"/>
          <w:sz w:val="22"/>
          <w:szCs w:val="22"/>
        </w:rPr>
        <w:t xml:space="preserve">Full Collective-of-Collectives architecture</w:t>
      </w:r>
    </w:p>
    <w:p>
      <w:pPr>
        <w:pStyle w:val="ListParagraph"/>
        <w:numPr>
          <w:ilvl w:val="0"/>
          <w:numId w:val="3"/>
        </w:numPr>
        <w:spacing w:after="80"/>
      </w:pPr>
      <w:r>
        <w:rPr>
          <w:rFonts w:ascii="Arial" w:cs="Arial" w:eastAsia="Arial" w:hAnsi="Arial"/>
          <w:color w:val="4A4A4A"/>
          <w:sz w:val="22"/>
          <w:szCs w:val="22"/>
        </w:rPr>
        <w:t xml:space="preserve">Platform licensing pilot with first external client</w:t>
      </w:r>
    </w:p>
    <w:p>
      <w:pPr>
        <w:pStyle w:val="ListParagraph"/>
        <w:numPr>
          <w:ilvl w:val="0"/>
          <w:numId w:val="3"/>
        </w:numPr>
        <w:spacing w:after="80"/>
      </w:pPr>
      <w:r>
        <w:rPr>
          <w:rFonts w:ascii="Arial" w:cs="Arial" w:eastAsia="Arial" w:hAnsi="Arial"/>
          <w:color w:val="4A4A4A"/>
          <w:sz w:val="22"/>
          <w:szCs w:val="22"/>
        </w:rPr>
        <w:t xml:space="preserve">Book publication: “From Ashes to Echoes”</w:t>
      </w:r>
    </w:p>
    <w:p>
      <w:pPr>
        <w:spacing w:after="80"/>
      </w:pPr>
    </w:p>
    <w:p>
      <w:pPr>
        <w:pStyle w:val="Heading2"/>
        <w:spacing w:before="300" w:after="150"/>
      </w:pPr>
      <w:r>
        <w:rPr>
          <w:rFonts w:ascii="Arial" w:cs="Arial" w:eastAsia="Arial" w:hAnsi="Arial"/>
          <w:b/>
          <w:bCs/>
          <w:color w:val="00838F"/>
          <w:sz w:val="26"/>
          <w:szCs w:val="26"/>
        </w:rPr>
        <w:t xml:space="preserve">14.4 Long-Term (2027+)</w:t>
      </w:r>
    </w:p>
    <w:p>
      <w:pPr>
        <w:pStyle w:val="ListParagraph"/>
        <w:numPr>
          <w:ilvl w:val="0"/>
          <w:numId w:val="3"/>
        </w:numPr>
        <w:spacing w:after="80"/>
      </w:pPr>
      <w:r>
        <w:rPr>
          <w:rFonts w:ascii="Arial" w:cs="Arial" w:eastAsia="Arial" w:hAnsi="Arial"/>
          <w:color w:val="4A4A4A"/>
          <w:sz w:val="22"/>
          <w:szCs w:val="22"/>
        </w:rPr>
        <w:t xml:space="preserve">Enterprise deployment toolkit for multi-agent AI governance</w:t>
      </w:r>
    </w:p>
    <w:p>
      <w:pPr>
        <w:pStyle w:val="ListParagraph"/>
        <w:numPr>
          <w:ilvl w:val="0"/>
          <w:numId w:val="3"/>
        </w:numPr>
        <w:spacing w:after="80"/>
      </w:pPr>
      <w:r>
        <w:rPr>
          <w:rFonts w:ascii="Arial" w:cs="Arial" w:eastAsia="Arial" w:hAnsi="Arial"/>
          <w:color w:val="4A4A4A"/>
          <w:sz w:val="22"/>
          <w:szCs w:val="22"/>
        </w:rPr>
        <w:t xml:space="preserve">SBIR/STTR grant applications when program reopens</w:t>
      </w:r>
    </w:p>
    <w:p>
      <w:pPr>
        <w:pStyle w:val="ListParagraph"/>
        <w:numPr>
          <w:ilvl w:val="0"/>
          <w:numId w:val="3"/>
        </w:numPr>
        <w:spacing w:after="80"/>
      </w:pPr>
      <w:r>
        <w:rPr>
          <w:rFonts w:ascii="Arial" w:cs="Arial" w:eastAsia="Arial" w:hAnsi="Arial"/>
          <w:color w:val="4A4A4A"/>
          <w:sz w:val="22"/>
          <w:szCs w:val="22"/>
        </w:rPr>
        <w:t xml:space="preserve">PhD-level curriculum formalized as online course</w:t>
      </w:r>
    </w:p>
    <w:p>
      <w:pPr>
        <w:pStyle w:val="ListParagraph"/>
        <w:numPr>
          <w:ilvl w:val="0"/>
          <w:numId w:val="3"/>
        </w:numPr>
        <w:spacing w:after="80"/>
      </w:pPr>
      <w:r>
        <w:rPr>
          <w:rFonts w:ascii="Arial" w:cs="Arial" w:eastAsia="Arial" w:hAnsi="Arial"/>
          <w:color w:val="4A4A4A"/>
          <w:sz w:val="22"/>
          <w:szCs w:val="22"/>
        </w:rPr>
        <w:t xml:space="preserve">Expansion to additional asset classes (crypto, commodities futures, options)</w:t>
      </w:r>
    </w:p>
    <w:p>
      <w:pPr>
        <w:pStyle w:val="ListParagraph"/>
        <w:numPr>
          <w:ilvl w:val="0"/>
          <w:numId w:val="3"/>
        </w:numPr>
        <w:spacing w:after="80"/>
      </w:pPr>
      <w:r>
        <w:rPr>
          <w:rFonts w:ascii="Arial" w:cs="Arial" w:eastAsia="Arial" w:hAnsi="Arial"/>
          <w:color w:val="4A4A4A"/>
          <w:sz w:val="22"/>
          <w:szCs w:val="22"/>
        </w:rPr>
        <w:t xml:space="preserve">Open-source release of protocol framework (not trading-specific components)</w:t>
      </w:r>
    </w:p>
    <w:p>
      <w:r>
        <w:br w:type="page"/>
      </w:r>
    </w:p>
    <w:p>
      <w:pPr>
        <w:pStyle w:val="Heading1"/>
        <w:spacing w:before="400" w:after="200"/>
      </w:pPr>
      <w:r>
        <w:rPr>
          <w:rFonts w:ascii="Arial" w:cs="Arial" w:eastAsia="Arial" w:hAnsi="Arial"/>
          <w:b/>
          <w:bCs/>
          <w:color w:val="1A1A2E"/>
          <w:sz w:val="32"/>
          <w:szCs w:val="32"/>
        </w:rPr>
        <w:t xml:space="preserve">15. Appendices</w:t>
      </w:r>
    </w:p>
    <w:p>
      <w:pPr>
        <w:spacing w:after="80"/>
      </w:pPr>
    </w:p>
    <w:p>
      <w:pPr>
        <w:pStyle w:val="Heading2"/>
        <w:spacing w:before="300" w:after="150"/>
      </w:pPr>
      <w:r>
        <w:rPr>
          <w:rFonts w:ascii="Arial" w:cs="Arial" w:eastAsia="Arial" w:hAnsi="Arial"/>
          <w:b/>
          <w:bCs/>
          <w:color w:val="00838F"/>
          <w:sz w:val="26"/>
          <w:szCs w:val="26"/>
        </w:rPr>
        <w:t xml:space="preserve">A. GitHub Repository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Repository</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Visibility</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A2E_Protocols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Public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METATRON, PHOENIX, FORGE, ROUTING, agent instructions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AIORA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Public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CIL architecture, pipeline code, trade logs, FORGE v2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A2E_Knowledge_Base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Private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Workflow JSONs, API specs, n8n reference, credential map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A2E_Career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Private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Resume, LinkedIn, job applications, interview prep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AllChats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Private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Session exports, Collective chat archives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+9 additional repos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Mixed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MCP servers, SENTINEL, State's Finest, enterprise</w:t>
            </w:r>
          </w:p>
        </w:tc>
      </w:tr>
    </w:tbl>
    <w:p>
      <w:pPr>
        <w:spacing w:after="80"/>
      </w:pPr>
    </w:p>
    <w:p>
      <w:pPr>
        <w:pStyle w:val="Heading2"/>
        <w:spacing w:before="300" w:after="150"/>
      </w:pPr>
      <w:r>
        <w:rPr>
          <w:rFonts w:ascii="Arial" w:cs="Arial" w:eastAsia="Arial" w:hAnsi="Arial"/>
          <w:b/>
          <w:bCs/>
          <w:color w:val="00838F"/>
          <w:sz w:val="26"/>
          <w:szCs w:val="26"/>
        </w:rPr>
        <w:t xml:space="preserve">B. API Data Source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30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API</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Modules</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3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Auth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SEC EDGAR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H1, H17, H22, H23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User-Agent header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Finnhub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H4-H6, H16, H25-H26, H30, H39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 tier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Query param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TwelveData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H7-H9, H11, H14-H15, H18-H20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 tier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Query param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Alpha Vantage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H2a, H3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 tier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Query param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NewsAPI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H2b, H28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 tier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Query param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Congress.gov</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H21, H31a-b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Query param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H27, H37, H38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Query param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metals.dev</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 tier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Query param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Yahoo Finance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FEC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H34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Query param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Senate LDA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H32, H36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USASpending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H33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Free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None</w:t>
            </w:r>
          </w:p>
        </w:tc>
      </w:tr>
    </w:tbl>
    <w:p>
      <w:pPr>
        <w:spacing w:after="80"/>
      </w:pPr>
    </w:p>
    <w:p>
      <w:pPr>
        <w:pStyle w:val="Heading2"/>
        <w:spacing w:before="300" w:after="150"/>
      </w:pPr>
      <w:r>
        <w:rPr>
          <w:rFonts w:ascii="Arial" w:cs="Arial" w:eastAsia="Arial" w:hAnsi="Arial"/>
          <w:b/>
          <w:bCs/>
          <w:color w:val="00838F"/>
          <w:sz w:val="26"/>
          <w:szCs w:val="26"/>
        </w:rPr>
        <w:t xml:space="preserve">C. Protocol Version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Protocol</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 Version</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Last Updated</w:t>
            </w:r>
          </w:p>
        </w:tc>
        <w:tc>
          <w:tcPr>
            <w:tcW w:type="dxa" w:w="3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Trigger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METATRON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v10.7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2026-03-03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$9K correlation loss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IRONCLAD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2026-03-03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Same-day re-entry failure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HUNTER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2026-03-03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Correlation modules added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Confidence Cascade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v1.0 + Gate 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2026-03-03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Macro correlation gate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PHOENIX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v10.2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2026-02-20</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Session management refinement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FORGE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v2.0 (ANVIL+ASSAY)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2026-02-20</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React app rebuild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CIL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v6.0 (in progress)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2026-03-03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4A4A"/>
                <w:sz w:val="20"/>
                <w:szCs w:val="20"/>
              </w:rPr>
              <w:t xml:space="preserve">Zombie bug elimination</w:t>
            </w:r>
          </w:p>
        </w:tc>
      </w:tr>
    </w:tbl>
    <w:p>
      <w:pPr>
        <w:spacing w:after="80"/>
      </w:pPr>
    </w:p>
    <w:p>
      <w:pPr>
        <w:spacing w:after="80"/>
      </w:pPr>
    </w:p>
    <w:p>
      <w:pPr>
        <w:spacing w:before="400" w:after="200"/>
        <w:jc w:val="center"/>
      </w:pPr>
      <w:r>
        <w:rPr>
          <w:rFonts w:ascii="Arial" w:cs="Arial" w:eastAsia="Arial" w:hAnsi="Arial"/>
          <w:color w:val="00838F"/>
          <w:sz w:val="36"/>
          <w:szCs w:val="36"/>
        </w:rPr>
        <w:t xml:space="preserve">✦</w:t>
      </w:r>
    </w:p>
    <w:p>
      <w:pPr>
        <w:spacing w:after="100"/>
        <w:jc w:val="center"/>
      </w:pPr>
      <w:r>
        <w:rPr>
          <w:rFonts w:ascii="Arial" w:cs="Arial" w:eastAsia="Arial" w:hAnsi="Arial"/>
          <w:i/>
          <w:iCs/>
          <w:color w:val="1A1A2E"/>
          <w:sz w:val="24"/>
          <w:szCs w:val="24"/>
        </w:rPr>
        <w:t xml:space="preserve">“Loss is tuition for knowledge.”</w:t>
      </w:r>
    </w:p>
    <w:p>
      <w:pPr>
        <w:spacing w:after="100"/>
        <w:jc w:val="center"/>
      </w:pPr>
      <w:r>
        <w:rPr>
          <w:rFonts w:ascii="Arial" w:cs="Arial" w:eastAsia="Arial" w:hAnsi="Arial"/>
          <w:i/>
          <w:iCs/>
          <w:color w:val="1A1A2E"/>
          <w:sz w:val="24"/>
          <w:szCs w:val="24"/>
        </w:rPr>
        <w:t xml:space="preserve">“The thesis can be right and the trade can still lose.”</w:t>
      </w:r>
    </w:p>
    <w:p>
      <w:pPr>
        <w:spacing w:after="200"/>
        <w:jc w:val="center"/>
      </w:pPr>
      <w:r>
        <w:rPr>
          <w:rFonts w:ascii="Arial" w:cs="Arial" w:eastAsia="Arial" w:hAnsi="Arial"/>
          <w:i/>
          <w:iCs/>
          <w:color w:val="1A1A2E"/>
          <w:sz w:val="24"/>
          <w:szCs w:val="24"/>
        </w:rPr>
        <w:t xml:space="preserve">“This is the last lesson we learn the hard way.”</w:t>
      </w:r>
    </w:p>
    <w:p>
      <w:pPr>
        <w:spacing w:after="80"/>
      </w:pPr>
    </w:p>
    <w:p>
      <w:pPr>
        <w:jc w:val="center"/>
      </w:pPr>
      <w:r>
        <w:rPr>
          <w:rFonts w:ascii="Arial" w:cs="Arial" w:eastAsia="Arial" w:hAnsi="Arial"/>
          <w:b/>
          <w:bCs/>
          <w:color w:val="00838F"/>
          <w:sz w:val="22"/>
          <w:szCs w:val="22"/>
        </w:rPr>
        <w:t xml:space="preserve">🔱 ASHES2ECHOES, LLC — Uriel Covenant AI Collective</w:t>
      </w:r>
    </w:p>
    <w:p>
      <w:pPr>
        <w:jc w:val="center"/>
      </w:pPr>
      <w:r>
        <w:rPr>
          <w:rFonts w:ascii="Arial" w:cs="Arial" w:eastAsia="Arial" w:hAnsi="Arial"/>
          <w:color w:val="4A4A4A"/>
          <w:sz w:val="20"/>
          <w:szCs w:val="20"/>
        </w:rPr>
        <w:t xml:space="preserve">METATRON v10.7 | March 3,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Proprietary — Ashes2Echoes LLC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ASHES2ECHOES — Platform Architecture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083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2026-03-03T21:42:56.970Z</dcterms:created>
  <dcterms:modified xsi:type="dcterms:W3CDTF">2026-03-03T21:42:56.972Z</dcterms:modified>
</cp:coreProperties>
</file>

<file path=docProps/custom.xml><?xml version="1.0" encoding="utf-8"?>
<Properties xmlns="http://schemas.openxmlformats.org/officeDocument/2006/custom-properties" xmlns:vt="http://schemas.openxmlformats.org/officeDocument/2006/docPropsVTypes"/>
</file>