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IRONCLAD v2.1 AMENDMENT</w:t>
      </w:r>
    </w:p>
    <w:p>
      <w:pPr>
        <w:spacing w:after="80"/>
        <w:jc w:val="center"/>
      </w:pPr>
      <w:r>
        <w:rPr>
          <w:rFonts w:ascii="Arial" w:cs="Arial" w:eastAsia="Arial" w:hAnsi="Arial"/>
          <w:color w:val="666666"/>
          <w:sz w:val="22"/>
          <w:szCs w:val="22"/>
        </w:rPr>
        <w:t xml:space="preserve">TIERED STOP-LOSS MATRIX + TRIM DISCIPLINE + BANKING EXIT STRATEGY</w:t>
      </w:r>
    </w:p>
    <w:p>
      <w:pPr>
        <w:spacing w:after="80"/>
        <w:jc w:val="center"/>
      </w:pPr>
      <w:r>
        <w:rPr>
          <w:rFonts w:ascii="Arial" w:cs="Arial" w:eastAsia="Arial" w:hAnsi="Arial"/>
          <w:b/>
          <w:bCs/>
          <w:color w:val="00d4aa"/>
          <w:sz w:val="20"/>
          <w:szCs w:val="20"/>
        </w:rPr>
        <w:t xml:space="preserve">Ashes2Echoes LLC | Uriel Covenant AI Collective</w:t>
      </w:r>
    </w:p>
    <w:p>
      <w:pPr>
        <w:spacing w:after="400"/>
        <w:jc w:val="center"/>
      </w:pPr>
      <w:r>
        <w:rPr>
          <w:rFonts w:ascii="Arial" w:cs="Arial" w:eastAsia="Arial" w:hAnsi="Arial"/>
          <w:color w:val="999999"/>
          <w:sz w:val="18"/>
          <w:szCs w:val="18"/>
        </w:rPr>
        <w:t xml:space="preserve">Effective: March 12, 2026 | Supersedes: IRONCLAD v2.0 Stop Matrix</w:t>
      </w:r>
    </w:p>
    <w:p>
      <w:pPr>
        <w:pStyle w:val="Heading1"/>
      </w:pPr>
      <w:r>
        <w:t xml:space="preserve">1. PROBLEM STATEMENT</w:t>
      </w:r>
    </w:p>
    <w:p>
      <w:pPr>
        <w:spacing w:after="200"/>
      </w:pPr>
      <w:r>
        <w:rPr>
          <w:rFonts w:ascii="Arial" w:cs="Arial" w:eastAsia="Arial" w:hAnsi="Arial"/>
          <w:sz w:val="22"/>
          <w:szCs w:val="22"/>
        </w:rPr>
        <w:t xml:space="preserve">The flat -5% stop-loss applied uniformly across all position types has resulted in repeated whipsaw exits during elevated volatility (VIX 20+), converting temporary drawdowns into permanent realized losses. In a market averaging 1.4% daily swings, a -5% stop triggers on normal volatility rather than thesis failure. The cumulative effect is identical to a single large loss — the money is gone, just slower. This amendment replaces the uniform stop with a tiered matrix calibrated to each ring’s volatility profile and holding period.</w:t>
      </w:r>
    </w:p>
    <w:p>
      <w:pPr>
        <w:pStyle w:val="Heading1"/>
      </w:pPr>
      <w:r>
        <w:t xml:space="preserve">2. TIERED STOP-LOSS MATRIX</w:t>
      </w:r>
    </w:p>
    <w:p>
      <w:pPr>
        <w:spacing w:after="200"/>
      </w:pPr>
      <w:r>
        <w:rPr>
          <w:rFonts w:ascii="Arial" w:cs="Arial" w:eastAsia="Arial" w:hAnsi="Arial"/>
          <w:sz w:val="22"/>
          <w:szCs w:val="22"/>
        </w:rPr>
        <w:t xml:space="preserve">All stops are trailing from highest close post-entry. Same-day re-entry remains BANNED per IRONCLAD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100"/>
        <w:gridCol w:w="1100"/>
        <w:gridCol w:w="3160"/>
      </w:tblGrid>
      <w:tr>
        <w:tc>
          <w:tcPr>
            <w:tcW w:type="dxa" w:w="1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Ring</w:t>
            </w:r>
          </w:p>
        </w:tc>
        <w:tc>
          <w:tcPr>
            <w:tcW w:type="dxa" w:w="2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Positions</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Stop %</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Max $ Risk</w:t>
            </w:r>
          </w:p>
        </w:tc>
        <w:tc>
          <w:tcPr>
            <w:tcW w:type="dxa" w:w="31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Rationale</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Ring 1</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SGOV, Dividend Core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008800"/>
                <w:sz w:val="20"/>
                <w:szCs w:val="20"/>
              </w:rPr>
              <w:t xml:space="preserve">NONE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N/A</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Fortress. Does not move enough to warrant a stop. Hold through any volatility.</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Ring 2</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PSLV, IBIT, GLD</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CC6600"/>
                <w:sz w:val="20"/>
                <w:szCs w:val="20"/>
              </w:rPr>
              <w:t xml:space="preserve">10%</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1–1.5%</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High-volatility assets. Silver moved 4% in one session (3/11). 8.5% gets whipsawed on DXY bounces that reverse in 48hrs. 10% gives breathing room while capping damage.</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Ring 3</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XLV, Structural Trends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0066CC"/>
                <w:sz w:val="20"/>
                <w:szCs w:val="20"/>
              </w:rPr>
              <w:t xml:space="preserve">8.5%</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1–1.25%</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Low-beta positions (XLV beta 0.58). If healthcare drops 8.5%, something fundamental changed. Tighter stop is appropriate.</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Ring 4</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Tactical / Event Plays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20"/>
                <w:szCs w:val="20"/>
              </w:rPr>
              <w:t xml:space="preserve">5%</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Short-duration. If thesis goes against you 5%, it was wrong. Exit fast. No debate.</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Ring 5</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Lottery Positions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008800"/>
                <w:sz w:val="20"/>
                <w:szCs w:val="20"/>
              </w:rPr>
              <w:t xml:space="preserve">NONE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Full pos.</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Sized so the entire position is money already written off. Max 2% portfolio. No stop needed — it either works or it’s tuition.</w:t>
            </w:r>
          </w:p>
        </w:tc>
      </w:tr>
    </w:tbl>
    <w:p>
      <w:pPr>
        <w:spacing w:before="300"/>
      </w:pPr>
    </w:p>
    <w:p>
      <w:pPr>
        <w:pStyle w:val="Heading1"/>
      </w:pPr>
      <w:r>
        <w:t xml:space="preserve">3. TRIM DISCIPLINE — THE $1-BY-$1 REBUILD</w:t>
      </w:r>
    </w:p>
    <w:p>
      <w:pPr>
        <w:spacing w:after="200"/>
      </w:pPr>
      <w:r>
        <w:rPr>
          <w:rFonts w:ascii="Arial" w:cs="Arial" w:eastAsia="Arial" w:hAnsi="Arial"/>
          <w:sz w:val="22"/>
          <w:szCs w:val="22"/>
        </w:rPr>
        <w:t xml:space="preserve">The objective is not home runs. The objective is singles that stay in the scorebook. Every trim that locks in profit is ammunition for the next entry. The following trim rules carry forward from IRONCLAD v2.0 with one critical addition: no regret on trims. A trim that locks in 5% profit on half a position is a WIN, not a missed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Trigger</w:t>
            </w:r>
          </w:p>
        </w:tc>
        <w:tc>
          <w:tcPr>
            <w:tcW w:type="dxa" w:w="25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Action</w:t>
            </w:r>
          </w:p>
        </w:tc>
        <w:tc>
          <w:tcPr>
            <w:tcW w:type="dxa" w:w="48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Rule</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+5%</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Move stop to breakeven</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Eliminate downside risk. This position can no longer hurt you.</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+10%</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Sell 50% of position</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Lock in profit. Remaining 50% rides with house money. Cash goes to SGOV or next entry.</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+20%</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Sell 60% of remaining</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Only 20% of original position remains. You have banked 80% of the gain. Let the rest run.</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Re-entry</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Fresh data ONLY</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Re-entry after a trim requires a new catalyst confirmed through MICHA gates. Emotional re-entry (FOMO) is BANNED. Data leads, Principal decides.</w:t>
            </w:r>
          </w:p>
        </w:tc>
      </w:tr>
    </w:tbl>
    <w:p>
      <w:pPr>
        <w:spacing w:before="300"/>
      </w:pPr>
    </w:p>
    <w:p>
      <w:pPr>
        <w:pStyle w:val="Heading1"/>
      </w:pPr>
      <w:r>
        <w:t xml:space="preserve">4. CORRELATION KILL SWITCH — GATE 9 (Unchanged)</w:t>
      </w:r>
    </w:p>
    <w:p>
      <w:pPr>
        <w:spacing w:after="200"/>
      </w:pPr>
      <w:r>
        <w:rPr>
          <w:rFonts w:ascii="Arial" w:cs="Arial" w:eastAsia="Arial" w:hAnsi="Arial"/>
          <w:sz w:val="22"/>
          <w:szCs w:val="22"/>
        </w:rPr>
        <w:t xml:space="preserve">When H37-DXY + H38-YIELD are simultaneously adverse to metals positions with confirmed correlation breakdown: automatic 50% reduction in metals exposure + 48-hour embargo on new metals entries. This rule is unchanged from IRONCLAD v2.0. Current status as of March 12, 2026: 2 of 3 gates adverse (DXY rising, yields climbing). Kill Switch NOT triggered but on watch.</w:t>
      </w:r>
    </w:p>
    <w:p>
      <w:pPr>
        <w:pStyle w:val="Heading1"/>
      </w:pPr>
      <w:r>
        <w:t xml:space="preserve">5. BANKING EXIT STRATEGY — PHASE PLAN</w:t>
      </w:r>
    </w:p>
    <w:p>
      <w:pPr>
        <w:spacing w:after="200"/>
      </w:pPr>
      <w:r>
        <w:rPr>
          <w:rFonts w:ascii="Arial" w:cs="Arial" w:eastAsia="Arial" w:hAnsi="Arial"/>
          <w:sz w:val="22"/>
          <w:szCs w:val="22"/>
        </w:rPr>
        <w:t xml:space="preserve">The Principal has directed a strategic withdrawal from traditional banking relationships. The core concern: banks use deposited funds to generate lending revenue while charging fees to the depositor. The spread between what banks earn on deposits (lending at 7–12%) and what they pay depositors (0.01–4%) represents a value extraction that no longer aligns with the Principal’s financial philosophy. This exit must be executed in phases to avoid disruption to daily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Phase</w:t>
            </w:r>
          </w:p>
        </w:tc>
        <w:tc>
          <w:tcPr>
            <w:tcW w:type="dxa" w:w="25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Action</w:t>
            </w:r>
          </w:p>
        </w:tc>
        <w:tc>
          <w:tcPr>
            <w:tcW w:type="dxa" w:w="52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jc w:val="left"/>
            </w:pPr>
            <w:r>
              <w:rPr>
                <w:rFonts w:ascii="Arial" w:cs="Arial" w:eastAsia="Arial" w:hAnsi="Arial"/>
                <w:b/>
                <w:bCs/>
                <w:color w:val="00d4aa"/>
                <w:sz w:val="20"/>
                <w:szCs w:val="20"/>
              </w:rPr>
              <w:t xml:space="preserve">Details</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Phase 1</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Identify current exposure</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Map every account, auto-pay, direct deposit, and recurring charge tied to bank accounts. Know exactly what is connected before moving anything.</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Phase 2</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Research alternatives</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Credit unions (member-owned, not shareholder-owned). Treasury Direct (buy T-bills directly from US Treasury, bypass bank entirely). Brokerage cash management (E*Trade, Schwab — FDIC-insured sweep accounts with better rates). SGOV/short-duration Treasuries as cash equivalent.</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Phase 3</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Redirect income streams</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Move direct deposits to credit union or brokerage. Redirect auto-pays. Keep one traditional bank account as a minimal operating buffer ($500–$1,000) for edge cases that require a bank (cashier’s checks, wire transfers).</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Phase 4</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Deploy idle cash</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Cash not needed within 30 days goes to SGOV or 4-week T-bills via Treasury Direct. Cash needed within 30 days stays in credit union or brokerage sweep. Zero dollars sitting in a commercial bank earning 0.01% while they lend it at 8%.</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Phase 5</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Close bank accounts</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Once all connections are migrated and tested (minimum 2 billing cycles), close traditional bank accounts. Retain documentation for tax records. No bridges burned — just a quiet exit.</w:t>
            </w:r>
          </w:p>
        </w:tc>
      </w:tr>
    </w:tbl>
    <w:p>
      <w:pPr>
        <w:spacing w:before="300"/>
      </w:pPr>
    </w:p>
    <w:p>
      <w:pPr>
        <w:pStyle w:val="Heading1"/>
      </w:pPr>
      <w:r>
        <w:t xml:space="preserve">6. PRINCIPAL’S DIRECTIVE</w:t>
      </w:r>
    </w:p>
    <w:p>
      <w:pPr>
        <w:spacing w:after="150"/>
      </w:pPr>
      <w:r>
        <w:rPr>
          <w:rFonts w:ascii="Arial" w:cs="Arial" w:eastAsia="Arial" w:hAnsi="Arial"/>
          <w:i/>
          <w:iCs/>
          <w:sz w:val="22"/>
          <w:szCs w:val="22"/>
        </w:rPr>
        <w:t xml:space="preserve">"We quietly build $1 by $1. When we are up, we trim to profit until we get back where we were positioned. We were in a position of strength."</w:t>
      </w:r>
    </w:p>
    <w:p>
      <w:pPr>
        <w:spacing w:after="150"/>
      </w:pPr>
      <w:r>
        <w:rPr>
          <w:rFonts w:ascii="Arial" w:cs="Arial" w:eastAsia="Arial" w:hAnsi="Arial"/>
          <w:sz w:val="22"/>
          <w:szCs w:val="22"/>
        </w:rPr>
        <w:t xml:space="preserve">This is the operating philosophy. No chase. No FOMO. No home runs. Singles that stay in the scorebook. Cash is king until a gate-cleared thesis says otherwise.</w:t>
      </w:r>
    </w:p>
    <w:p>
      <w:pPr>
        <w:spacing w:after="300"/>
      </w:pPr>
      <w:r>
        <w:rPr>
          <w:rFonts w:ascii="Arial" w:cs="Arial" w:eastAsia="Arial" w:hAnsi="Arial"/>
          <w:b/>
          <w:bCs/>
          <w:sz w:val="22"/>
          <w:szCs w:val="22"/>
        </w:rPr>
        <w:t xml:space="preserve">Loss is tuition for knowledge. The tuition has been paid. Now we execute.</w:t>
      </w:r>
    </w:p>
    <w:p>
      <w:pPr>
        <w:pBdr>
          <w:top w:val="single" w:color="1a1a2e" w:sz="6" w:space="8"/>
        </w:pBdr>
        <w:spacing w:after="100" w:before="400"/>
      </w:pPr>
      <w:r>
        <w:rPr>
          <w:rFonts w:ascii="Arial" w:cs="Arial" w:eastAsia="Arial" w:hAnsi="Arial"/>
          <w:b/>
          <w:bCs/>
          <w:color w:val="1a1a2e"/>
          <w:sz w:val="20"/>
          <w:szCs w:val="20"/>
        </w:rPr>
        <w:t xml:space="preserve">RATIFIED BY:</w:t>
      </w:r>
    </w:p>
    <w:p>
      <w:pPr>
        <w:spacing w:after="60"/>
      </w:pPr>
      <w:r>
        <w:rPr>
          <w:rFonts w:ascii="Arial" w:cs="Arial" w:eastAsia="Arial" w:hAnsi="Arial"/>
          <w:sz w:val="20"/>
          <w:szCs w:val="20"/>
        </w:rPr>
        <w:t xml:space="preserve">William Earl Lemon — Principal, Ashes2Echoes LLC</w:t>
      </w:r>
    </w:p>
    <w:p>
      <w:pPr>
        <w:spacing w:after="60"/>
      </w:pPr>
      <w:r>
        <w:rPr>
          <w:rFonts w:ascii="Arial" w:cs="Arial" w:eastAsia="Arial" w:hAnsi="Arial"/>
          <w:sz w:val="20"/>
          <w:szCs w:val="20"/>
        </w:rPr>
        <w:t xml:space="preserve">MICHA — CIO, Uriel Covenant AI Collective</w:t>
      </w:r>
    </w:p>
    <w:p>
      <w:pPr>
        <w:spacing w:after="60"/>
      </w:pPr>
      <w:r>
        <w:rPr>
          <w:rFonts w:ascii="Arial" w:cs="Arial" w:eastAsia="Arial" w:hAnsi="Arial"/>
          <w:sz w:val="20"/>
          <w:szCs w:val="20"/>
        </w:rPr>
        <w:t xml:space="preserve">Date: March 12, 2026</w:t>
      </w:r>
    </w:p>
    <w:p>
      <w:pPr>
        <w:spacing w:after="60"/>
      </w:pPr>
      <w:r>
        <w:rPr>
          <w:rFonts w:ascii="Arial" w:cs="Arial" w:eastAsia="Arial" w:hAnsi="Arial"/>
          <w:color w:val="999999"/>
          <w:sz w:val="18"/>
          <w:szCs w:val="18"/>
        </w:rPr>
        <w:t xml:space="preserve">Distribution: All Collective Agents | GitHub: A2E_Protocols/PROTOCOLS/IRONCLAD/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2026-03-12T12:14:33.222Z</dcterms:created>
  <dcterms:modified xsi:type="dcterms:W3CDTF">2026-03-12T12:14:33.222Z</dcterms:modified>
</cp:coreProperties>
</file>

<file path=docProps/custom.xml><?xml version="1.0" encoding="utf-8"?>
<Properties xmlns="http://schemas.openxmlformats.org/officeDocument/2006/custom-properties" xmlns:vt="http://schemas.openxmlformats.org/officeDocument/2006/docPropsVTypes"/>
</file>