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60"/>
        <w:jc w:val="center"/>
      </w:pPr>
      <w:r>
        <w:rPr>
          <w:rFonts w:ascii="Arial" w:cs="Arial" w:eastAsia="Arial" w:hAnsi="Arial"/>
          <w:b/>
          <w:bCs/>
          <w:color w:val="008080"/>
          <w:sz w:val="48"/>
          <w:szCs w:val="48"/>
        </w:rPr>
        <w:t xml:space="preserve">ORACLE INTELLIGENCE REPORT</w:t>
      </w:r>
    </w:p>
    <w:p>
      <w:pPr>
        <w:pBdr>
          <w:bottom w:val="single" w:color="008080" w:sz="8" w:space="1"/>
        </w:pBdr>
        <w:spacing w:after="200"/>
        <w:jc w:val="center"/>
      </w:pPr>
      <w:r>
        <w:rPr>
          <w:rFonts w:ascii="Arial" w:cs="Arial" w:eastAsia="Arial" w:hAnsi="Arial"/>
          <w:color w:val="1A1A1A"/>
          <w:sz w:val="36"/>
          <w:szCs w:val="36"/>
        </w:rPr>
        <w:t xml:space="preserve">STRIKE PRICE SYMPHONY ANALYSIS</w:t>
      </w:r>
    </w:p>
    <w:p>
      <w:pPr>
        <w:spacing w:after="80"/>
      </w:pPr>
    </w:p>
    <w:p>
      <w:pPr>
        <w:spacing w:after="80"/>
        <w:jc w:val="center"/>
      </w:pPr>
      <w:r>
        <w:rPr>
          <w:rFonts w:ascii="Arial" w:cs="Arial" w:eastAsia="Arial" w:hAnsi="Arial"/>
          <w:color w:val="666666"/>
          <w:sz w:val="24"/>
          <w:szCs w:val="24"/>
        </w:rPr>
        <w:t xml:space="preserve">Options Market Microstructure Manipulation Detection</w:t>
      </w:r>
    </w:p>
    <w:p>
      <w:pPr>
        <w:spacing w:after="80"/>
        <w:jc w:val="center"/>
      </w:pPr>
      <w:r>
        <w:rPr>
          <w:rFonts w:ascii="Arial" w:cs="Arial" w:eastAsia="Arial" w:hAnsi="Arial"/>
          <w:color w:val="666666"/>
          <w:sz w:val="24"/>
          <w:szCs w:val="24"/>
        </w:rPr>
        <w:t xml:space="preserve">SENTINEL Social Intelligence Stack Deployment</w:t>
      </w:r>
    </w:p>
    <w:p>
      <w:pPr>
        <w:spacing w:after="80"/>
        <w:jc w:val="center"/>
      </w:pPr>
      <w:r>
        <w:rPr>
          <w:rFonts w:ascii="Arial" w:cs="Arial" w:eastAsia="Arial" w:hAnsi="Arial"/>
          <w:color w:val="666666"/>
          <w:sz w:val="24"/>
          <w:szCs w:val="24"/>
        </w:rPr>
        <w:t xml:space="preserve">Databento OPRA Data Path Assessment</w:t>
      </w:r>
    </w:p>
    <w:p>
      <w:pPr>
        <w:spacing w:after="80"/>
      </w:pPr>
    </w:p>
    <w:p>
      <w:pPr>
        <w:spacing w:after="8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February 15, 2026</w:t>
            </w:r>
          </w:p>
        </w:tc>
      </w:tr>
      <w:tr>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C0000"/>
                <w:sz w:val="20"/>
                <w:szCs w:val="20"/>
              </w:rPr>
              <w:t xml:space="preserve">PRIORITY INTELLIGENCE</w:t>
            </w:r>
          </w:p>
        </w:tc>
      </w:tr>
      <w:tr>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Prepared By: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MICHA (CIO) — Uriel Covenant</w:t>
            </w:r>
          </w:p>
        </w:tc>
      </w:tr>
      <w:tr>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Authority: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William Earl Lemon, Principal</w:t>
            </w:r>
          </w:p>
        </w:tc>
      </w:tr>
      <w:tr>
        <w:tc>
          <w:tcPr>
            <w:tcW w:type="dxa" w:w="2000"/>
            <w:tcBorders>
              <w:top w:val="single" w:color="CCCCCC" w:sz="1"/>
              <w:left w:val="single" w:color="CCCCCC" w:sz="1"/>
              <w:bottom w:val="single" w:color="CCCCCC" w:sz="1"/>
              <w:right w:val="single" w:color="CCCCCC" w:sz="1"/>
            </w:tcBorders>
            <w:shd w:fill="F0F7F7"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Protocol: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METATRON v10.3 — AIORA ORACLE</w:t>
            </w:r>
          </w:p>
        </w:tc>
      </w:tr>
    </w:tbl>
    <w:p>
      <w:pPr>
        <w:spacing w:after="80"/>
      </w:pPr>
    </w:p>
    <w:p>
      <w:pPr>
        <w:spacing w:after="80"/>
      </w:pPr>
    </w:p>
    <w:p>
      <w:pPr>
        <w:spacing w:after="80"/>
      </w:pPr>
    </w:p>
    <w:p>
      <w:pPr>
        <w:spacing w:after="120"/>
        <w:jc w:val="left"/>
      </w:pPr>
      <w:r>
        <w:rPr>
          <w:rFonts w:ascii="Arial" w:cs="Arial" w:eastAsia="Arial" w:hAnsi="Arial"/>
          <w:b w:val="false"/>
          <w:bCs w:val="false"/>
          <w:i/>
          <w:iCs/>
          <w:color w:val="666666"/>
          <w:sz w:val="22"/>
          <w:szCs w:val="22"/>
        </w:rPr>
        <w:t xml:space="preserve">TRIGGER: External intelligence source (HYMC contact) surfaced Reddit DD analysis titled “Strike Price Symphony” by user @buythefukndip (Bradley), demonstrating institutional-grade forensic analysis of GME options manipulation. Analysis exposed critical gap in A2E surveillance architecture.</w:t>
      </w:r>
    </w:p>
    <w:p>
      <w:r>
        <w:br w:type="page"/>
      </w:r>
    </w:p>
    <w:p>
      <w:pPr>
        <w:pStyle w:val="Heading1"/>
        <w:spacing w:before="300" w:after="150"/>
      </w:pPr>
      <w:r>
        <w:rPr>
          <w:rFonts w:ascii="Arial" w:cs="Arial" w:eastAsia="Arial" w:hAnsi="Arial"/>
          <w:b/>
          <w:bCs/>
          <w:color w:val="008080"/>
          <w:sz w:val="32"/>
          <w:szCs w:val="32"/>
        </w:rPr>
        <w:t xml:space="preserve">1. EXECUTIVE SUMMARY</w:t>
      </w:r>
    </w:p>
    <w:p>
      <w:pPr>
        <w:spacing w:after="120"/>
        <w:jc w:val="left"/>
      </w:pPr>
      <w:r>
        <w:rPr>
          <w:rFonts w:ascii="Arial" w:cs="Arial" w:eastAsia="Arial" w:hAnsi="Arial"/>
          <w:b w:val="false"/>
          <w:bCs w:val="false"/>
          <w:i w:val="false"/>
          <w:iCs w:val="false"/>
          <w:color w:val="1A1A1A"/>
          <w:sz w:val="22"/>
          <w:szCs w:val="22"/>
        </w:rPr>
        <w:t xml:space="preserve">A Reddit user operating under the handle @buythefukndip (Bradley) published a multi-part forensic analysis of GME options trading titled “The Strike Price Symphony.” The post, currently in Pending Review status on r/Superstonk, analyzes 80 million equity trades and over 1 million options trades at tick-level resolution to identify six independently verifiable instances of algorithmic market manipulation spanning 3.5 years (January 2021 through June 2024).</w:t>
      </w:r>
    </w:p>
    <w:p>
      <w:pPr>
        <w:spacing w:after="80"/>
      </w:pPr>
    </w:p>
    <w:p>
      <w:pPr>
        <w:spacing w:after="120"/>
        <w:jc w:val="left"/>
      </w:pPr>
      <w:r>
        <w:rPr>
          <w:rFonts w:ascii="Arial" w:cs="Arial" w:eastAsia="Arial" w:hAnsi="Arial"/>
          <w:b/>
          <w:bCs/>
          <w:color w:val="CC0000"/>
          <w:sz w:val="22"/>
          <w:szCs w:val="22"/>
        </w:rPr>
        <w:t xml:space="preserve">Key Finding: </w:t>
      </w:r>
      <w:r>
        <w:rPr>
          <w:rFonts w:ascii="Arial" w:cs="Arial" w:eastAsia="Arial" w:hAnsi="Arial"/>
          <w:sz w:val="22"/>
          <w:szCs w:val="22"/>
        </w:rPr>
        <w:t xml:space="preserve">The same institutional algorithm operated in both GME squeeze events using identical code signatures, lot sizes, and evasion tactics. The author measured this through autocorrelation analysis (ACF), demonstrating that market maker hedging behavior flips from dampening (ACF = -0.203, normal) to amplifying (ACF = +0.107, squeeze) at a measurable transition point the author calls a “Liquidity Phase Transition.”</w:t>
      </w:r>
    </w:p>
    <w:p>
      <w:pPr>
        <w:spacing w:after="80"/>
      </w:pPr>
    </w:p>
    <w:p>
      <w:pPr>
        <w:spacing w:after="120"/>
        <w:jc w:val="left"/>
      </w:pPr>
      <w:r>
        <w:rPr>
          <w:rFonts w:ascii="Arial" w:cs="Arial" w:eastAsia="Arial" w:hAnsi="Arial"/>
          <w:b/>
          <w:bCs/>
          <w:color w:val="008080"/>
          <w:sz w:val="22"/>
          <w:szCs w:val="22"/>
        </w:rPr>
        <w:t xml:space="preserve">Strategic Implication for A2E: </w:t>
      </w:r>
      <w:r>
        <w:rPr>
          <w:rFonts w:ascii="Arial" w:cs="Arial" w:eastAsia="Arial" w:hAnsi="Arial"/>
          <w:sz w:val="22"/>
          <w:szCs w:val="22"/>
        </w:rPr>
        <w:t xml:space="preserve">This analysis exposes a gap in our HUNTER surveillance architecture. We have no capability to detect options microstructure manipulation, wash trading patterns, or gamma regime transitions in real-time. The contact who surfaced this intelligence (same source who identified HYMC before our protocols caught it) is operating on manual Reddit surveillance. We are behind.</w:t>
      </w:r>
    </w:p>
    <w:p>
      <w:pPr>
        <w:pBdr>
          <w:bottom w:val="single" w:color="008080" w:sz="6" w:space="1"/>
        </w:pBdr>
        <w:spacing w:before="200" w:after="200"/>
      </w:pPr>
    </w:p>
    <w:p>
      <w:pPr>
        <w:pStyle w:val="Heading1"/>
        <w:spacing w:before="300" w:after="150"/>
      </w:pPr>
      <w:r>
        <w:rPr>
          <w:rFonts w:ascii="Arial" w:cs="Arial" w:eastAsia="Arial" w:hAnsi="Arial"/>
          <w:b/>
          <w:bCs/>
          <w:color w:val="008080"/>
          <w:sz w:val="32"/>
          <w:szCs w:val="32"/>
        </w:rPr>
        <w:t xml:space="preserve">2. THE STRIKE PRICE SYMPHONY — WHAT BRADLEY FOUND</w:t>
      </w:r>
    </w:p>
    <w:p>
      <w:pPr>
        <w:pStyle w:val="Heading2"/>
        <w:spacing w:before="300" w:after="150"/>
      </w:pPr>
      <w:r>
        <w:rPr>
          <w:rFonts w:ascii="Arial" w:cs="Arial" w:eastAsia="Arial" w:hAnsi="Arial"/>
          <w:b/>
          <w:bCs/>
          <w:color w:val="1A1A1A"/>
          <w:sz w:val="26"/>
          <w:szCs w:val="26"/>
        </w:rPr>
        <w:t xml:space="preserve">2.1 Market Maker Mechanics (The Thermostat)</w:t>
      </w:r>
    </w:p>
    <w:p>
      <w:pPr>
        <w:spacing w:after="120"/>
        <w:jc w:val="left"/>
      </w:pPr>
      <w:r>
        <w:rPr>
          <w:rFonts w:ascii="Arial" w:cs="Arial" w:eastAsia="Arial" w:hAnsi="Arial"/>
          <w:b w:val="false"/>
          <w:bCs w:val="false"/>
          <w:i w:val="false"/>
          <w:iCs w:val="false"/>
          <w:color w:val="1A1A1A"/>
          <w:sz w:val="22"/>
          <w:szCs w:val="22"/>
        </w:rPr>
        <w:t xml:space="preserve">Bradley establishes that market makers default to Long Gamma positioning, not Short Gamma as commonly assumed in retail DD. In normal markets, institutional clients (pension funds selling covered calls, insurance companies buying protective puts, yield hunters selling options for theta) create order flow that puts the dealer Net Long Gamma.</w:t>
      </w:r>
    </w:p>
    <w:p>
      <w:pPr>
        <w:spacing w:after="120"/>
        <w:jc w:val="left"/>
      </w:pPr>
      <w:r>
        <w:rPr>
          <w:rFonts w:ascii="Arial" w:cs="Arial" w:eastAsia="Arial" w:hAnsi="Arial"/>
          <w:b w:val="false"/>
          <w:bCs w:val="false"/>
          <w:i w:val="false"/>
          <w:iCs w:val="false"/>
          <w:color w:val="1A1A1A"/>
          <w:sz w:val="22"/>
          <w:szCs w:val="22"/>
        </w:rPr>
        <w:t xml:space="preserve">When Long Gamma, the dealer must sell into rallies and buy into dips to maintain delta neutrality. This creates a dampening effect — mechanical stability. Bradley measured this across 37 tickers over 12 years and found 92.7% of trading days are dampened, with an average ACF of -0.203.</w:t>
      </w:r>
    </w:p>
    <w:p>
      <w:pPr>
        <w:pStyle w:val="Heading2"/>
        <w:spacing w:before="300" w:after="150"/>
      </w:pPr>
      <w:r>
        <w:rPr>
          <w:rFonts w:ascii="Arial" w:cs="Arial" w:eastAsia="Arial" w:hAnsi="Arial"/>
          <w:b/>
          <w:bCs/>
          <w:color w:val="1A1A1A"/>
          <w:sz w:val="26"/>
          <w:szCs w:val="26"/>
        </w:rPr>
        <w:t xml:space="preserve">2.2 The Thermostat Breaks (Liquidity Phase Transition)</w:t>
      </w:r>
    </w:p>
    <w:p>
      <w:pPr>
        <w:spacing w:after="120"/>
        <w:jc w:val="left"/>
      </w:pPr>
      <w:r>
        <w:rPr>
          <w:rFonts w:ascii="Arial" w:cs="Arial" w:eastAsia="Arial" w:hAnsi="Arial"/>
          <w:b w:val="false"/>
          <w:bCs w:val="false"/>
          <w:i w:val="false"/>
          <w:iCs w:val="false"/>
          <w:color w:val="1A1A1A"/>
          <w:sz w:val="22"/>
          <w:szCs w:val="22"/>
        </w:rPr>
        <w:t xml:space="preserve">When retail traders overwhelm the system with massive call buying, the dealer flips to Short Gamma. Now rising prices force the dealer to buy more shares (chasing the rally) and falling prices force selling (accelerating the crash). The system becomes procyclical — it amplifies everything.</w:t>
      </w:r>
    </w:p>
    <w:p>
      <w:pPr>
        <w:spacing w:after="120"/>
        <w:jc w:val="left"/>
      </w:pPr>
      <w:r>
        <w:rPr>
          <w:rFonts w:ascii="Arial" w:cs="Arial" w:eastAsia="Arial" w:hAnsi="Arial"/>
          <w:b w:val="false"/>
          <w:bCs w:val="false"/>
          <w:i w:val="false"/>
          <w:iCs w:val="false"/>
          <w:color w:val="1A1A1A"/>
          <w:sz w:val="22"/>
          <w:szCs w:val="22"/>
        </w:rPr>
        <w:t xml:space="preserve">Bradley coined this flip a “Liquidity Phase Transition” — the moment the system changes from dampening to amplifying. During the January 2021 GME sneeze, ACF hit +0.107. During normal mature phase (2024-2026), it reads -0.154. Same stock, completely different physics.</w:t>
      </w:r>
    </w:p>
    <w:p>
      <w:pPr>
        <w:pStyle w:val="Heading2"/>
        <w:spacing w:before="300" w:after="150"/>
      </w:pPr>
      <w:r>
        <w:rPr>
          <w:rFonts w:ascii="Arial" w:cs="Arial" w:eastAsia="Arial" w:hAnsi="Arial"/>
          <w:b/>
          <w:bCs/>
          <w:color w:val="1A1A1A"/>
          <w:sz w:val="26"/>
          <w:szCs w:val="26"/>
        </w:rPr>
        <w:t xml:space="preserve">2.3 The Inventory Battery (LEAPS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Tenor Bucket</w:t>
            </w:r>
          </w:p>
        </w:tc>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of Trades</w:t>
            </w:r>
          </w:p>
        </w:tc>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of Hedging Energy</w:t>
            </w:r>
          </w:p>
        </w:tc>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Significance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0DTE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Noise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1-7 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48.9%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Volume, no power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8-30 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24.8%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21.7%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Moderate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31-90 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24.1%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Significant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91-180 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18.1%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High impact</w:t>
            </w:r>
          </w:p>
        </w:tc>
      </w:tr>
      <w:tr>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181-365 day (LEAPS)</w:t>
            </w:r>
          </w:p>
        </w:tc>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1.9%</w:t>
            </w:r>
          </w:p>
        </w:tc>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23.7%</w:t>
            </w:r>
          </w:p>
        </w:tc>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365+ 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3.3%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Minimal volume</w:t>
            </w:r>
          </w:p>
        </w:tc>
      </w:tr>
    </w:tbl>
    <w:p>
      <w:pPr>
        <w:spacing w:after="80"/>
      </w:pPr>
    </w:p>
    <w:p>
      <w:pPr>
        <w:spacing w:after="120"/>
        <w:jc w:val="left"/>
      </w:pPr>
      <w:r>
        <w:rPr>
          <w:rFonts w:ascii="Arial" w:cs="Arial" w:eastAsia="Arial" w:hAnsi="Arial"/>
          <w:b/>
          <w:bCs/>
          <w:sz w:val="22"/>
          <w:szCs w:val="22"/>
        </w:rPr>
        <w:t xml:space="preserve">The LEAPS bucket (181-365 days) holds 23.7% of all hedging energy from just 1.9% of trades. </w:t>
      </w:r>
      <w:r>
        <w:rPr>
          <w:rFonts w:ascii="Arial" w:cs="Arial" w:eastAsia="Arial" w:hAnsi="Arial"/>
          <w:sz w:val="22"/>
          <w:szCs w:val="22"/>
        </w:rPr>
        <w:t xml:space="preserve">Whoever controls the LEAPS controls 45% of the thermostat’s power source. Bradley found someone was doing exactly this using what he calls “The Shadow Algorithm.”</w:t>
      </w:r>
    </w:p>
    <w:p>
      <w:pPr>
        <w:pStyle w:val="Heading2"/>
        <w:spacing w:before="300" w:after="150"/>
      </w:pPr>
      <w:r>
        <w:rPr>
          <w:rFonts w:ascii="Arial" w:cs="Arial" w:eastAsia="Arial" w:hAnsi="Arial"/>
          <w:b/>
          <w:bCs/>
          <w:color w:val="1A1A1A"/>
          <w:sz w:val="26"/>
          <w:szCs w:val="26"/>
        </w:rPr>
        <w:t xml:space="preserve">2.4 The Shadow Algorithm — Six Smoking Guns</w:t>
      </w:r>
    </w:p>
    <w:p>
      <w:pPr>
        <w:spacing w:after="120"/>
        <w:jc w:val="left"/>
      </w:pPr>
      <w:r>
        <w:rPr>
          <w:rFonts w:ascii="Arial" w:cs="Arial" w:eastAsia="Arial" w:hAnsi="Arial"/>
          <w:b w:val="false"/>
          <w:bCs w:val="false"/>
          <w:i w:val="false"/>
          <w:iCs w:val="false"/>
          <w:color w:val="1A1A1A"/>
          <w:sz w:val="22"/>
          <w:szCs w:val="22"/>
        </w:rPr>
        <w:t xml:space="preserve">Bradley built a wash trade detector that identifies pairs of trades matching on lot size, price, strike, and expiry, executing within 5 seconds on the same or different exchanges. The matched pairs showed consistent, narrow, clearly algorithmic patterns.</w:t>
      </w:r>
    </w:p>
    <w:p>
      <w:pPr>
        <w:spacing w:after="80"/>
      </w:pPr>
    </w:p>
    <w:p>
      <w:pPr>
        <w:spacing w:after="120"/>
        <w:jc w:val="left"/>
      </w:pPr>
      <w:r>
        <w:rPr>
          <w:rFonts w:ascii="Arial" w:cs="Arial" w:eastAsia="Arial" w:hAnsi="Arial"/>
          <w:b/>
          <w:bCs/>
          <w:sz w:val="22"/>
          <w:szCs w:val="22"/>
        </w:rPr>
        <w:t xml:space="preserve">Smoking Gun — Wash Trading on Tape: </w:t>
      </w:r>
      <w:r>
        <w:rPr>
          <w:rFonts w:ascii="Arial" w:cs="Arial" w:eastAsia="Arial" w:hAnsi="Arial"/>
          <w:sz w:val="22"/>
          <w:szCs w:val="22"/>
        </w:rPr>
        <w:t xml:space="preserve">Buy and sell the same contract to yourself, same quantity, same price, within fractions of a second. Zero gain or loss, but the trade prints to the SIP tape, creating artificial volume that fools other market participants and forces options pricing model recalculations.</w:t>
      </w:r>
    </w:p>
    <w:p>
      <w:pPr>
        <w:spacing w:after="80"/>
      </w:pPr>
    </w:p>
    <w:p>
      <w:pPr>
        <w:spacing w:after="120"/>
        <w:jc w:val="left"/>
      </w:pPr>
      <w:r>
        <w:rPr>
          <w:rFonts w:ascii="Arial" w:cs="Arial" w:eastAsia="Arial" w:hAnsi="Arial"/>
          <w:b/>
          <w:bCs/>
          <w:sz w:val="22"/>
          <w:szCs w:val="22"/>
        </w:rPr>
        <w:t xml:space="preserve">Smoking Gun — Hidden Exchanges: </w:t>
      </w:r>
      <w:r>
        <w:rPr>
          <w:rFonts w:ascii="Arial" w:cs="Arial" w:eastAsia="Arial" w:hAnsi="Arial"/>
          <w:sz w:val="22"/>
          <w:szCs w:val="22"/>
        </w:rPr>
        <w:t xml:space="preserve">Exchange codes UNK_60, UNK_65, UNK_73 do not appear in most retail data feeds. Bradley de-masked them by cross-referencing fee schedules and exchange characteristics. Nearly one-third of all options volume in both squeeze events had zero exposure, zero risk, and zero directional purpose.</w:t>
      </w:r>
    </w:p>
    <w:p>
      <w:pPr>
        <w:spacing w:after="80"/>
      </w:pPr>
    </w:p>
    <w:p>
      <w:pPr>
        <w:spacing w:after="120"/>
        <w:jc w:val="left"/>
      </w:pPr>
      <w:r>
        <w:rPr>
          <w:rFonts w:ascii="Arial" w:cs="Arial" w:eastAsia="Arial" w:hAnsi="Arial"/>
          <w:b/>
          <w:bCs/>
          <w:sz w:val="22"/>
          <w:szCs w:val="22"/>
        </w:rPr>
        <w:t xml:space="preserve">Smoking Gun — Identical Signatures 3.5 Years Apart: </w:t>
      </w:r>
      <w:r>
        <w:rPr>
          <w:rFonts w:ascii="Arial" w:cs="Arial" w:eastAsia="Arial" w:hAnsi="Arial"/>
          <w:sz w:val="22"/>
          <w:szCs w:val="22"/>
        </w:rPr>
        <w:t xml:space="preserve">The strategy involves injecting garbage IV through worthless short-dated prints, waiting for market maker models to recalibrate, then buying LEAPS at the newly inflated prices. When the gamma squeeze hits, those LEAPS print massive profits. The tag is consistent, narrow, and clearly algorithmic. The SEC has been notified.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Event</w:t>
            </w:r>
          </w:p>
        </w:tc>
        <w:tc>
          <w:tcPr>
            <w:tcW w:type="dxa" w:w="312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 Options Volume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January 2021 Sneeze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6 dates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8,056,797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June 2024 Sneeze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8 dates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3,314,219</w:t>
            </w:r>
          </w:p>
        </w:tc>
      </w:tr>
    </w:tbl>
    <w:p>
      <w:pPr>
        <w:spacing w:after="80"/>
      </w:pPr>
    </w:p>
    <w:p>
      <w:pPr>
        <w:spacing w:after="120"/>
        <w:jc w:val="left"/>
      </w:pPr>
      <w:r>
        <w:rPr>
          <w:rFonts w:ascii="Arial" w:cs="Arial" w:eastAsia="Arial" w:hAnsi="Arial"/>
          <w:b/>
          <w:bCs/>
          <w:i w:val="false"/>
          <w:iCs w:val="false"/>
          <w:color w:val="1A1A1A"/>
          <w:sz w:val="22"/>
          <w:szCs w:val="22"/>
        </w:rPr>
        <w:t xml:space="preserve">Nearly one-third of all options volume in both events was wash volume with zero delta exposure, zero risk, and zero directional purpose — pure tape manipulation.</w:t>
      </w:r>
    </w:p>
    <w:p>
      <w:r>
        <w:br w:type="page"/>
      </w:r>
    </w:p>
    <w:p>
      <w:pPr>
        <w:pStyle w:val="Heading1"/>
        <w:spacing w:before="300" w:after="150"/>
      </w:pPr>
      <w:r>
        <w:rPr>
          <w:rFonts w:ascii="Arial" w:cs="Arial" w:eastAsia="Arial" w:hAnsi="Arial"/>
          <w:b/>
          <w:bCs/>
          <w:color w:val="008080"/>
          <w:sz w:val="32"/>
          <w:szCs w:val="32"/>
        </w:rPr>
        <w:t xml:space="preserve">3. A2E SURVEILLANCE GAP ANALYSIS</w:t>
      </w:r>
    </w:p>
    <w:p>
      <w:pPr>
        <w:spacing w:after="120"/>
        <w:jc w:val="left"/>
      </w:pPr>
      <w:r>
        <w:rPr>
          <w:rFonts w:ascii="Arial" w:cs="Arial" w:eastAsia="Arial" w:hAnsi="Arial"/>
          <w:b w:val="false"/>
          <w:bCs w:val="false"/>
          <w:i w:val="false"/>
          <w:iCs w:val="false"/>
          <w:color w:val="1A1A1A"/>
          <w:sz w:val="22"/>
          <w:szCs w:val="22"/>
        </w:rPr>
        <w:t xml:space="preserve">This DD exposed three critical blind spots in our current HUNTER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Gap #</w:t>
            </w:r>
          </w:p>
        </w:tc>
        <w:tc>
          <w:tcPr>
            <w:tcW w:type="dxa" w:w="260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We Lack</w:t>
            </w:r>
          </w:p>
        </w:tc>
        <w:tc>
          <w:tcPr>
            <w:tcW w:type="dxa" w:w="260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Costs Us</w:t>
            </w:r>
          </w:p>
        </w:tc>
        <w:tc>
          <w:tcPr>
            <w:tcW w:type="dxa" w:w="260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Solution</w:t>
            </w:r>
          </w:p>
        </w:tc>
      </w:tr>
      <w:tr>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GAP 1</w:t>
            </w:r>
          </w:p>
        </w:tc>
        <w:tc>
          <w:tcPr>
            <w:tcW w:type="dxa" w:w="2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Social Intelligence Scanner (H24 dead, Pillar 6.3/6.8 missing)</w:t>
            </w:r>
          </w:p>
        </w:tc>
        <w:tc>
          <w:tcPr>
            <w:tcW w:type="dxa" w:w="2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Friend catches DD before us. We are always reactive.</w:t>
            </w:r>
          </w:p>
        </w:tc>
        <w:tc>
          <w:tcPr>
            <w:tcW w:type="dxa" w:w="2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SENTINEL Stack Layer 1: Reddit DD Scanner</w:t>
            </w:r>
          </w:p>
        </w:tc>
      </w:tr>
      <w:tr>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GAP 2</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Social Sentiment Velocity (Finnhub social endpoint unused)</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No anomaly detection on mention acceleration or sentiment flips</w:t>
            </w:r>
          </w:p>
        </w:tc>
        <w:tc>
          <w:tcPr>
            <w:tcW w:type="dxa" w:w="2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SENTINEL Stack Layer 2: Finnhub Social + Z-Score Detection</w:t>
            </w:r>
          </w:p>
        </w:tc>
      </w:tr>
      <w:tr>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GAP 3</w:t>
            </w:r>
          </w:p>
        </w:tc>
        <w:tc>
          <w:tcPr>
            <w:tcW w:type="dxa" w:w="2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Options Microstructure (no tick-level data, no GEX monitoring)</w:t>
            </w:r>
          </w:p>
        </w:tc>
        <w:tc>
          <w:tcPr>
            <w:tcW w:type="dxa" w:w="2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Cannot detect wash trading, gamma transitions, or algorithmic fingerprints</w:t>
            </w:r>
          </w:p>
        </w:tc>
        <w:tc>
          <w:tcPr>
            <w:tcW w:type="dxa" w:w="2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SENTINEL Stack Layer 3 + Databento OPRA data path</w:t>
            </w:r>
          </w:p>
        </w:tc>
      </w:tr>
    </w:tbl>
    <w:p>
      <w:pPr>
        <w:pBdr>
          <w:bottom w:val="single" w:color="008080" w:sz="6" w:space="1"/>
        </w:pBdr>
        <w:spacing w:before="200" w:after="200"/>
      </w:pPr>
    </w:p>
    <w:p>
      <w:pPr>
        <w:pStyle w:val="Heading1"/>
        <w:spacing w:before="300" w:after="150"/>
      </w:pPr>
      <w:r>
        <w:rPr>
          <w:rFonts w:ascii="Arial" w:cs="Arial" w:eastAsia="Arial" w:hAnsi="Arial"/>
          <w:b/>
          <w:bCs/>
          <w:color w:val="008080"/>
          <w:sz w:val="32"/>
          <w:szCs w:val="32"/>
        </w:rPr>
        <w:t xml:space="preserve">4. SENTINEL STACK v1.0 — DEPLOYED SPECIFICATION</w:t>
      </w:r>
    </w:p>
    <w:p>
      <w:pPr>
        <w:spacing w:after="120"/>
        <w:jc w:val="left"/>
      </w:pPr>
      <w:r>
        <w:rPr>
          <w:rFonts w:ascii="Arial" w:cs="Arial" w:eastAsia="Arial" w:hAnsi="Arial"/>
          <w:b w:val="false"/>
          <w:bCs w:val="false"/>
          <w:i w:val="false"/>
          <w:iCs w:val="false"/>
          <w:color w:val="1A1A1A"/>
          <w:sz w:val="22"/>
          <w:szCs w:val="22"/>
        </w:rPr>
        <w:t xml:space="preserve">Full three-layer social intelligence and gamma detection system, designed for n8n deployment. Separate specification document delivered (SENTINEL_STACK_v1.0.md).</w:t>
      </w:r>
    </w:p>
    <w:p>
      <w:pPr>
        <w:spacing w:after="80"/>
      </w:pPr>
    </w:p>
    <w:p>
      <w:pPr>
        <w:pStyle w:val="Heading2"/>
        <w:spacing w:before="300" w:after="150"/>
      </w:pPr>
      <w:r>
        <w:rPr>
          <w:rFonts w:ascii="Arial" w:cs="Arial" w:eastAsia="Arial" w:hAnsi="Arial"/>
          <w:b/>
          <w:bCs/>
          <w:color w:val="1A1A1A"/>
          <w:sz w:val="26"/>
          <w:szCs w:val="26"/>
        </w:rPr>
        <w:t xml:space="preserve">4.1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1800"/>
        <w:gridCol w:w="1600"/>
      </w:tblGrid>
      <w:tr>
        <w:tc>
          <w:tcPr>
            <w:tcW w:type="dxa" w:w="156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Source</w:t>
            </w:r>
          </w:p>
        </w:tc>
        <w:tc>
          <w:tcPr>
            <w:tcW w:type="dxa" w:w="180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L1</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Reddit DD Scanner</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Reddit API (OAuth)</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Every 15 min</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FREE</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L1b</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LLM Quality Scorer</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Anthropic API (Haiku)</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Per DD post</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~$12/mo</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L2</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Social Velocity</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Finnhub Social Sentiment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Every 30 min</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FREE</w:t>
            </w:r>
          </w:p>
        </w:tc>
      </w:tr>
      <w:tr>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L3</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Gamma Flow</w:t>
            </w:r>
          </w:p>
        </w:tc>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Unusual Whales API</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Every 15 min</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PAID (active)</w:t>
            </w:r>
          </w:p>
        </w:tc>
      </w:tr>
    </w:tbl>
    <w:p>
      <w:pPr>
        <w:spacing w:after="80"/>
      </w:pPr>
    </w:p>
    <w:p>
      <w:pPr>
        <w:pStyle w:val="Heading2"/>
        <w:spacing w:before="300" w:after="150"/>
      </w:pPr>
      <w:r>
        <w:rPr>
          <w:rFonts w:ascii="Arial" w:cs="Arial" w:eastAsia="Arial" w:hAnsi="Arial"/>
          <w:b/>
          <w:bCs/>
          <w:color w:val="1A1A1A"/>
          <w:sz w:val="26"/>
          <w:szCs w:val="26"/>
        </w:rPr>
        <w:t xml:space="preserve">4.2 Convergence Alert Logic</w:t>
      </w:r>
    </w:p>
    <w:p>
      <w:pPr>
        <w:pStyle w:val="ListParagraph"/>
        <w:numPr>
          <w:ilvl w:val="0"/>
          <w:numId w:val="2"/>
        </w:numPr>
        <w:spacing w:after="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 Single-layer alert = Informational only. Monitor.</w:t>
      </w:r>
    </w:p>
    <w:p>
      <w:pPr>
        <w:pStyle w:val="ListParagraph"/>
        <w:numPr>
          <w:ilvl w:val="0"/>
          <w:numId w:val="2"/>
        </w:numPr>
        <w:spacing w:after="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 Two-layer convergence = Add to watchlist. Research.</w:t>
      </w:r>
    </w:p>
    <w:p>
      <w:pPr>
        <w:pStyle w:val="ListParagraph"/>
        <w:numPr>
          <w:ilvl w:val="0"/>
          <w:numId w:val="2"/>
        </w:numPr>
        <w:spacing w:after="8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 Three-layer convergence = PRIORITY. Immediate review required.</w:t>
      </w:r>
    </w:p>
    <w:p>
      <w:pPr>
        <w:spacing w:after="80"/>
      </w:pPr>
    </w:p>
    <w:p>
      <w:pPr>
        <w:pStyle w:val="Heading2"/>
        <w:spacing w:before="300" w:after="150"/>
      </w:pPr>
      <w:r>
        <w:rPr>
          <w:rFonts w:ascii="Arial" w:cs="Arial" w:eastAsia="Arial" w:hAnsi="Arial"/>
          <w:b/>
          <w:bCs/>
          <w:color w:val="1A1A1A"/>
          <w:sz w:val="26"/>
          <w:szCs w:val="26"/>
        </w:rPr>
        <w:t xml:space="preserve">4.3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c>
          <w:tcPr>
            <w:tcW w:type="dxa" w:w="351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1755"/>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1755"/>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Reddit OAuth App</w:t>
            </w:r>
          </w:p>
        </w:tc>
        <w:tc>
          <w:tcPr>
            <w:tcW w:type="dxa" w:w="351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Register at reddit.com/prefs/apps</w:t>
            </w:r>
          </w:p>
        </w:tc>
        <w:tc>
          <w:tcPr>
            <w:tcW w:type="dxa" w:w="1755"/>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5 min</w:t>
            </w:r>
          </w:p>
        </w:tc>
        <w:tc>
          <w:tcPr>
            <w:tcW w:type="dxa" w:w="1755"/>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NEEDED</w:t>
            </w:r>
          </w:p>
        </w:tc>
      </w:tr>
      <w:tr>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Discord Webhook</w:t>
            </w:r>
          </w:p>
        </w:tc>
        <w:tc>
          <w:tcPr>
            <w:tcW w:type="dxa" w:w="351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Create in A2E Discord server</w:t>
            </w:r>
          </w:p>
        </w:tc>
        <w:tc>
          <w:tcPr>
            <w:tcW w:type="dxa" w:w="1755"/>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 min</w:t>
            </w:r>
          </w:p>
        </w:tc>
        <w:tc>
          <w:tcPr>
            <w:tcW w:type="dxa" w:w="1755"/>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NEEDED</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Finnhub API Key</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Already have</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READY</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Unusual Whales API</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Active through ~June 2026</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READY</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Anthropic API Key</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Already have</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w:t>
            </w:r>
          </w:p>
        </w:tc>
        <w:tc>
          <w:tcPr>
            <w:tcW w:type="dxa" w:w="175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READY</w:t>
            </w:r>
          </w:p>
        </w:tc>
      </w:tr>
    </w:tbl>
    <w:p>
      <w:r>
        <w:br w:type="page"/>
      </w:r>
    </w:p>
    <w:p>
      <w:pPr>
        <w:pStyle w:val="Heading1"/>
        <w:spacing w:before="300" w:after="150"/>
      </w:pPr>
      <w:r>
        <w:rPr>
          <w:rFonts w:ascii="Arial" w:cs="Arial" w:eastAsia="Arial" w:hAnsi="Arial"/>
          <w:b/>
          <w:bCs/>
          <w:color w:val="008080"/>
          <w:sz w:val="32"/>
          <w:szCs w:val="32"/>
        </w:rPr>
        <w:t xml:space="preserve">5. DATABENTO OPRA DATA PATH ASSESSMENT</w:t>
      </w:r>
    </w:p>
    <w:p>
      <w:pPr>
        <w:spacing w:after="120"/>
        <w:jc w:val="left"/>
      </w:pPr>
      <w:r>
        <w:rPr>
          <w:rFonts w:ascii="Arial" w:cs="Arial" w:eastAsia="Arial" w:hAnsi="Arial"/>
          <w:b w:val="false"/>
          <w:bCs w:val="false"/>
          <w:i w:val="false"/>
          <w:iCs w:val="false"/>
          <w:color w:val="1A1A1A"/>
          <w:sz w:val="22"/>
          <w:szCs w:val="22"/>
        </w:rPr>
        <w:t xml:space="preserve">To replicate Bradley’s methodology and build prospective detection of the same patterns, we need tick-level options data from OPRA. Databento is the most accessible provider.</w:t>
      </w:r>
    </w:p>
    <w:p>
      <w:pPr>
        <w:spacing w:after="80"/>
      </w:pPr>
    </w:p>
    <w:p>
      <w:pPr>
        <w:pStyle w:val="Heading2"/>
        <w:spacing w:before="300" w:after="150"/>
      </w:pPr>
      <w:r>
        <w:rPr>
          <w:rFonts w:ascii="Arial" w:cs="Arial" w:eastAsia="Arial" w:hAnsi="Arial"/>
          <w:b/>
          <w:bCs/>
          <w:color w:val="1A1A1A"/>
          <w:sz w:val="26"/>
          <w:szCs w:val="26"/>
        </w:rPr>
        <w:t xml:space="preserve">5.1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Plan</w:t>
            </w:r>
          </w:p>
        </w:tc>
        <w:tc>
          <w:tcPr>
            <w:tcW w:type="dxa" w:w="156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w:t>
            </w:r>
          </w:p>
        </w:tc>
        <w:tc>
          <w:tcPr>
            <w:tcW w:type="dxa" w:w="273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You Get</w:t>
            </w:r>
          </w:p>
        </w:tc>
        <w:tc>
          <w:tcPr>
            <w:tcW w:type="dxa" w:w="273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Our Use Case</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Free Credit</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 ($125 credit)</w:t>
            </w:r>
          </w:p>
        </w:tc>
        <w:tc>
          <w:tcPr>
            <w:tcW w:type="dxa" w:w="27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Pay-as-you-go historical data</w:t>
            </w:r>
          </w:p>
        </w:tc>
        <w:tc>
          <w:tcPr>
            <w:tcW w:type="dxa" w:w="273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Pull GME Jan 2021 + Jun 2024 as proof of concept</w:t>
            </w:r>
          </w:p>
        </w:tc>
      </w:tr>
      <w:tr>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Standard</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$199/month</w:t>
            </w:r>
          </w:p>
        </w:tc>
        <w:tc>
          <w:tcPr>
            <w:tcW w:type="dxa" w:w="273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Live data + 1yr L1 history + 1mo L2/L3</w:t>
            </w:r>
          </w:p>
        </w:tc>
        <w:tc>
          <w:tcPr>
            <w:tcW w:type="dxa" w:w="273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Full prospective monitoring once POC validated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Plus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$1,500/month</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Enterprise features + 15yr L1 history</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NOT NEEDED at our scale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Unlimited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$4,000/month</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Full 15yr all schemas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NOT NEEDED</w:t>
            </w:r>
          </w:p>
        </w:tc>
      </w:tr>
    </w:tbl>
    <w:p>
      <w:pPr>
        <w:spacing w:after="80"/>
      </w:pPr>
    </w:p>
    <w:p>
      <w:pPr>
        <w:pStyle w:val="Heading2"/>
        <w:spacing w:before="300" w:after="150"/>
      </w:pPr>
      <w:r>
        <w:rPr>
          <w:rFonts w:ascii="Arial" w:cs="Arial" w:eastAsia="Arial" w:hAnsi="Arial"/>
          <w:b/>
          <w:bCs/>
          <w:color w:val="1A1A1A"/>
          <w:sz w:val="26"/>
          <w:szCs w:val="26"/>
        </w:rPr>
        <w:t xml:space="preserve">5.2 Recommended Approach</w:t>
      </w:r>
    </w:p>
    <w:p>
      <w:pPr>
        <w:spacing w:after="120"/>
        <w:jc w:val="left"/>
      </w:pPr>
      <w:r>
        <w:rPr>
          <w:rFonts w:ascii="Arial" w:cs="Arial" w:eastAsia="Arial" w:hAnsi="Arial"/>
          <w:b/>
          <w:bCs/>
          <w:color w:val="006600"/>
          <w:sz w:val="22"/>
          <w:szCs w:val="22"/>
        </w:rPr>
        <w:t xml:space="preserve">Phase 1 (FREE): </w:t>
      </w:r>
      <w:r>
        <w:rPr>
          <w:rFonts w:ascii="Arial" w:cs="Arial" w:eastAsia="Arial" w:hAnsi="Arial"/>
          <w:sz w:val="22"/>
          <w:szCs w:val="22"/>
        </w:rPr>
        <w:t xml:space="preserve">Sign up for $125 free credit. Pull historical GME options trade data for January 2021 (6 trading days) and June 2024 (8 trading days). Build wash trade detector and ACF calculator as Python scripts. Replicate at least one of Bradley’s six smoking guns.</w:t>
      </w:r>
    </w:p>
    <w:p>
      <w:pPr>
        <w:spacing w:after="80"/>
      </w:pPr>
    </w:p>
    <w:p>
      <w:pPr>
        <w:spacing w:after="120"/>
        <w:jc w:val="left"/>
      </w:pPr>
      <w:r>
        <w:rPr>
          <w:rFonts w:ascii="Arial" w:cs="Arial" w:eastAsia="Arial" w:hAnsi="Arial"/>
          <w:b/>
          <w:bCs/>
          <w:color w:val="008080"/>
          <w:sz w:val="22"/>
          <w:szCs w:val="22"/>
        </w:rPr>
        <w:t xml:space="preserve">Phase 2 ($199/month): </w:t>
      </w:r>
      <w:r>
        <w:rPr>
          <w:rFonts w:ascii="Arial" w:cs="Arial" w:eastAsia="Arial" w:hAnsi="Arial"/>
          <w:sz w:val="22"/>
          <w:szCs w:val="22"/>
        </w:rPr>
        <w:t xml:space="preserve">If proof of concept validates, upgrade to Standard for live monitoring. Integrate with SENTINEL Layer 3 for real-time gamma transition detection. This becomes the “institutional layer” that separates our pattern recognition from retail-grade analysis.</w:t>
      </w:r>
    </w:p>
    <w:p>
      <w:pPr>
        <w:spacing w:after="80"/>
      </w:pPr>
    </w:p>
    <w:p>
      <w:pPr>
        <w:spacing w:after="120"/>
        <w:jc w:val="left"/>
      </w:pPr>
      <w:r>
        <w:rPr>
          <w:rFonts w:ascii="Arial" w:cs="Arial" w:eastAsia="Arial" w:hAnsi="Arial"/>
          <w:b/>
          <w:bCs/>
          <w:color w:val="666666"/>
          <w:sz w:val="22"/>
          <w:szCs w:val="22"/>
        </w:rPr>
        <w:t xml:space="preserve">Phase 3 (PhD Integration): </w:t>
      </w:r>
      <w:r>
        <w:rPr>
          <w:rFonts w:ascii="Arial" w:cs="Arial" w:eastAsia="Arial" w:hAnsi="Arial"/>
          <w:sz w:val="22"/>
          <w:szCs w:val="22"/>
        </w:rPr>
        <w:t xml:space="preserve">Options microstructure manipulation detection via multi-agent system maps directly to Block 1 of the PhD curriculum (Generative AI + Multi-Agent Systems). A multi-agent system that detects market manipulation through options microstructure pattern recognition IS the dissertation.</w:t>
      </w:r>
    </w:p>
    <w:p>
      <w:pPr>
        <w:pBdr>
          <w:bottom w:val="single" w:color="008080" w:sz="6" w:space="1"/>
        </w:pBdr>
        <w:spacing w:before="200" w:after="200"/>
      </w:pPr>
    </w:p>
    <w:p>
      <w:pPr>
        <w:pStyle w:val="Heading1"/>
        <w:spacing w:before="300" w:after="150"/>
      </w:pPr>
      <w:r>
        <w:rPr>
          <w:rFonts w:ascii="Arial" w:cs="Arial" w:eastAsia="Arial" w:hAnsi="Arial"/>
          <w:b/>
          <w:bCs/>
          <w:color w:val="008080"/>
          <w:sz w:val="32"/>
          <w:szCs w:val="32"/>
        </w:rPr>
        <w:t xml:space="preserve">6. PATTERN RECOGNITION FRAMEWORK — HOW IT ALL CONNECTS</w:t>
      </w:r>
    </w:p>
    <w:p>
      <w:pPr>
        <w:spacing w:after="120"/>
        <w:jc w:val="left"/>
      </w:pPr>
      <w:r>
        <w:rPr>
          <w:rFonts w:ascii="Arial" w:cs="Arial" w:eastAsia="Arial" w:hAnsi="Arial"/>
          <w:b w:val="false"/>
          <w:bCs w:val="false"/>
          <w:i w:val="false"/>
          <w:iCs w:val="false"/>
          <w:color w:val="1A1A1A"/>
          <w:sz w:val="22"/>
          <w:szCs w:val="22"/>
        </w:rPr>
        <w:t xml:space="preserve">Bradley’s work is pattern recognition on market microstructure. We already do this in other domains: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Our System</w:t>
            </w:r>
          </w:p>
        </w:tc>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Layer</w:t>
            </w:r>
          </w:p>
        </w:tc>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Pattern Detected</w:t>
            </w:r>
          </w:p>
        </w:tc>
        <w:tc>
          <w:tcPr>
            <w:tcW w:type="dxa" w:w="23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Bradley Equivalent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SILVER PATTERN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Physical delivery (Shanghai/COMEX)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Temporary vs terminal crash (premium spread)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Dampening vs amplifying regime (ACF)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HUNTER H1-H7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Price, volume, filings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Insider clusters, momentum, catalysts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Surface-level (what he built UNDERNEATH)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HUNTER H8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Options flow (UW)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Unusual volume, sweep detection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Crude proxy for his wash trade detector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8-SECTOR SCAN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Macro regime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Rotation, divergence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His “thermostat” state detection</w:t>
            </w:r>
          </w:p>
        </w:tc>
      </w:tr>
      <w:tr>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SENTINEL L3 (NEW)</w:t>
            </w:r>
          </w:p>
        </w:tc>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OPRA tick data</w:t>
            </w:r>
          </w:p>
        </w:tc>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GEX flips, wash trades, algo fingerprints</w:t>
            </w:r>
          </w:p>
        </w:tc>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1A1A1A"/>
                <w:sz w:val="20"/>
                <w:szCs w:val="20"/>
              </w:rPr>
              <w:t xml:space="preserve">DIRECT REPLICATION</w:t>
            </w:r>
          </w:p>
        </w:tc>
      </w:tr>
    </w:tbl>
    <w:p>
      <w:pPr>
        <w:spacing w:after="80"/>
      </w:pPr>
    </w:p>
    <w:p>
      <w:pPr>
        <w:spacing w:after="120"/>
        <w:jc w:val="left"/>
      </w:pPr>
      <w:r>
        <w:rPr>
          <w:rFonts w:ascii="Arial" w:cs="Arial" w:eastAsia="Arial" w:hAnsi="Arial"/>
          <w:b/>
          <w:bCs/>
          <w:sz w:val="22"/>
          <w:szCs w:val="22"/>
        </w:rPr>
        <w:t xml:space="preserve">The core insight: </w:t>
      </w:r>
      <w:r>
        <w:rPr>
          <w:rFonts w:ascii="Arial" w:cs="Arial" w:eastAsia="Arial" w:hAnsi="Arial"/>
          <w:sz w:val="22"/>
          <w:szCs w:val="22"/>
        </w:rPr>
        <w:t xml:space="preserve">The SILVER PATTERN protocol already applies microstructure pattern recognition to physical metals (Shanghai premium = physical demand signal vs paper manipulation). Bradley applies the identical logic to options (ACF = hedging behavior signal vs algorithmic manipulation). Same methodology, different instrument. We were already thinking this way — we just hadn’t extended it to the options layer.</w:t>
      </w:r>
    </w:p>
    <w:p>
      <w:r>
        <w:br w:type="page"/>
      </w:r>
    </w:p>
    <w:p>
      <w:pPr>
        <w:pStyle w:val="Heading1"/>
        <w:spacing w:before="300" w:after="150"/>
      </w:pPr>
      <w:r>
        <w:rPr>
          <w:rFonts w:ascii="Arial" w:cs="Arial" w:eastAsia="Arial" w:hAnsi="Arial"/>
          <w:b/>
          <w:bCs/>
          <w:color w:val="008080"/>
          <w:sz w:val="32"/>
          <w:szCs w:val="32"/>
        </w:rPr>
        <w:t xml:space="preserve">7. SOURCE ASSESSMENT — @BUYTHEFUKNDIP (BRADLEY)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X Account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@buythefukndip — 197 followers, 50 following, joined Oct 2020, no prior posts visible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Reddit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Superstonk DD author, post in “Pending Review” as of Feb 15 2026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Data Access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OPRA tick-level + TAQ equity data = institutional or academic access ($10K-$50K/yr)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Methodology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PhD-level quantitative finance: autocorrelation analysis, wash trade detection, exchange code de-masking, tenor distribution analysis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Claimed Output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160,000-word academic paper with 32 tables and 14 references, SEC notification</w:t>
            </w:r>
          </w:p>
        </w:tc>
      </w:tr>
      <w:tr>
        <w:tc>
          <w:tcPr>
            <w:tcW w:type="dxa" w:w="31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Assessment</w:t>
            </w:r>
          </w:p>
        </w:tc>
        <w:tc>
          <w:tcPr>
            <w:tcW w:type="dxa" w:w="6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NOT a retail shitposter. Either fund employee leaking research, independent quant with academic data access, or ex-institutional. Analytical rigor is exceptional.</w:t>
            </w:r>
          </w:p>
        </w:tc>
      </w:tr>
    </w:tbl>
    <w:p>
      <w:pPr>
        <w:spacing w:after="80"/>
      </w:pPr>
    </w:p>
    <w:p>
      <w:pPr>
        <w:pStyle w:val="Heading2"/>
        <w:spacing w:before="300" w:after="150"/>
      </w:pPr>
      <w:r>
        <w:rPr>
          <w:rFonts w:ascii="Arial" w:cs="Arial" w:eastAsia="Arial" w:hAnsi="Arial"/>
          <w:b/>
          <w:bCs/>
          <w:color w:val="1A1A1A"/>
          <w:sz w:val="26"/>
          <w:szCs w:val="26"/>
        </w:rPr>
        <w:t xml:space="preserve">7.1 Gate 7.5 Counter-Thesis</w:t>
      </w:r>
    </w:p>
    <w:p>
      <w:pPr>
        <w:pStyle w:val="ListParagraph"/>
        <w:numPr>
          <w:ilvl w:val="0"/>
          <w:numId w:val="2"/>
        </w:numPr>
        <w:spacing w:after="80"/>
      </w:pPr>
      <w:r>
        <w:rPr>
          <w:rFonts w:ascii="Arial" w:cs="Arial" w:eastAsia="Arial" w:hAnsi="Arial"/>
          <w:b/>
          <w:bCs/>
          <w:color w:val="1A1A1A"/>
          <w:sz w:val="22"/>
          <w:szCs w:val="22"/>
        </w:rPr>
        <w:t xml:space="preserve">Risk: </w:t>
      </w:r>
      <w:r>
        <w:rPr>
          <w:rFonts w:ascii="Arial" w:cs="Arial" w:eastAsia="Arial" w:hAnsi="Arial"/>
          <w:color w:val="1A1A1A"/>
          <w:sz w:val="22"/>
          <w:szCs w:val="22"/>
        </w:rPr>
        <w:t xml:space="preserve"> The GME DD community has produced thousands of conspiracy-grade analyses since 2021. Most are confirmation-biased garbage.</w:t>
      </w:r>
    </w:p>
    <w:p>
      <w:pPr>
        <w:pStyle w:val="ListParagraph"/>
        <w:numPr>
          <w:ilvl w:val="0"/>
          <w:numId w:val="2"/>
        </w:numPr>
        <w:spacing w:after="80"/>
      </w:pPr>
      <w:r>
        <w:rPr>
          <w:rFonts w:ascii="Arial" w:cs="Arial" w:eastAsia="Arial" w:hAnsi="Arial"/>
          <w:b/>
          <w:bCs/>
          <w:color w:val="1A1A1A"/>
          <w:sz w:val="22"/>
          <w:szCs w:val="22"/>
        </w:rPr>
        <w:t xml:space="preserve">Risk: </w:t>
      </w:r>
      <w:r>
        <w:rPr>
          <w:rFonts w:ascii="Arial" w:cs="Arial" w:eastAsia="Arial" w:hAnsi="Arial"/>
          <w:color w:val="1A1A1A"/>
          <w:sz w:val="22"/>
          <w:szCs w:val="22"/>
        </w:rPr>
        <w:t xml:space="preserve"> Without access to the full 160K-word paper and its 32 tables, we cannot independently verify the six smoking guns.</w:t>
      </w:r>
    </w:p>
    <w:p>
      <w:pPr>
        <w:pStyle w:val="ListParagraph"/>
        <w:numPr>
          <w:ilvl w:val="0"/>
          <w:numId w:val="2"/>
        </w:numPr>
        <w:spacing w:after="80"/>
      </w:pPr>
      <w:r>
        <w:rPr>
          <w:rFonts w:ascii="Arial" w:cs="Arial" w:eastAsia="Arial" w:hAnsi="Arial"/>
          <w:b/>
          <w:bCs/>
          <w:color w:val="1A1A1A"/>
          <w:sz w:val="22"/>
          <w:szCs w:val="22"/>
        </w:rPr>
        <w:t xml:space="preserve">Risk: </w:t>
      </w:r>
      <w:r>
        <w:rPr>
          <w:rFonts w:ascii="Arial" w:cs="Arial" w:eastAsia="Arial" w:hAnsi="Arial"/>
          <w:color w:val="1A1A1A"/>
          <w:sz w:val="22"/>
          <w:szCs w:val="22"/>
        </w:rPr>
        <w:t xml:space="preserve"> Autocorrelation analysis is real quantitative methodology, but the interpretation (intentional manipulation vs emergent market dynamics) is debatable.</w:t>
      </w:r>
    </w:p>
    <w:p>
      <w:pPr>
        <w:pStyle w:val="ListParagraph"/>
        <w:numPr>
          <w:ilvl w:val="0"/>
          <w:numId w:val="2"/>
        </w:numPr>
        <w:spacing w:after="80"/>
      </w:pPr>
      <w:r>
        <w:rPr>
          <w:rFonts w:ascii="Arial" w:cs="Arial" w:eastAsia="Arial" w:hAnsi="Arial"/>
          <w:b/>
          <w:bCs/>
          <w:color w:val="1A1A1A"/>
          <w:sz w:val="22"/>
          <w:szCs w:val="22"/>
        </w:rPr>
        <w:t xml:space="preserve">Risk: </w:t>
      </w:r>
      <w:r>
        <w:rPr>
          <w:rFonts w:ascii="Arial" w:cs="Arial" w:eastAsia="Arial" w:hAnsi="Arial"/>
          <w:color w:val="1A1A1A"/>
          <w:sz w:val="22"/>
          <w:szCs w:val="22"/>
        </w:rPr>
        <w:t xml:space="preserve"> The fact that it is still in Pending Review means even Superstonk mods have not vetted it.</w:t>
      </w:r>
    </w:p>
    <w:p>
      <w:pPr>
        <w:spacing w:after="80"/>
      </w:pPr>
    </w:p>
    <w:p>
      <w:pPr>
        <w:spacing w:after="120"/>
        <w:jc w:val="left"/>
      </w:pPr>
      <w:r>
        <w:rPr>
          <w:rFonts w:ascii="Arial" w:cs="Arial" w:eastAsia="Arial" w:hAnsi="Arial"/>
          <w:b/>
          <w:bCs/>
          <w:sz w:val="22"/>
          <w:szCs w:val="22"/>
        </w:rPr>
        <w:t xml:space="preserve">Net assessment: </w:t>
      </w:r>
      <w:r>
        <w:rPr>
          <w:rFonts w:ascii="Arial" w:cs="Arial" w:eastAsia="Arial" w:hAnsi="Arial"/>
          <w:sz w:val="22"/>
          <w:szCs w:val="22"/>
        </w:rPr>
        <w:t xml:space="preserve">The methodology is sound regardless of whether the conspiracy thesis holds. The pattern recognition techniques (ACF analysis, wash trade detection, tenor distribution, exchange code analysis) are independently valuable for our systems whether or not there is a coordinated “Shadow Algorithm.” We adopt the tools, not the narrative.</w:t>
      </w:r>
    </w:p>
    <w:p>
      <w:pPr>
        <w:pBdr>
          <w:bottom w:val="single" w:color="008080" w:sz="6" w:space="1"/>
        </w:pBdr>
        <w:spacing w:before="200" w:after="200"/>
      </w:pPr>
    </w:p>
    <w:p>
      <w:pPr>
        <w:pStyle w:val="Heading1"/>
        <w:spacing w:before="300" w:after="150"/>
      </w:pPr>
      <w:r>
        <w:rPr>
          <w:rFonts w:ascii="Arial" w:cs="Arial" w:eastAsia="Arial" w:hAnsi="Arial"/>
          <w:b/>
          <w:bCs/>
          <w:color w:val="008080"/>
          <w:sz w:val="32"/>
          <w:szCs w:val="32"/>
        </w:rPr>
        <w:t xml:space="preserve">8. ACTION ITEMS — PRIORITY 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3900"/>
        <w:gridCol w:w="1950"/>
        <w:gridCol w:w="1950"/>
      </w:tblGrid>
      <w:tr>
        <w:tc>
          <w:tcPr>
            <w:tcW w:type="dxa" w:w="78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78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390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195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w:t>
            </w:r>
          </w:p>
        </w:tc>
        <w:tc>
          <w:tcPr>
            <w:tcW w:type="dxa" w:w="195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r>
      <w:tr>
        <w:tc>
          <w:tcPr>
            <w:tcW w:type="dxa" w:w="7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w:t>
            </w:r>
          </w:p>
        </w:tc>
        <w:tc>
          <w:tcPr>
            <w:tcW w:type="dxa" w:w="7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CRITICAL</w:t>
            </w:r>
          </w:p>
        </w:tc>
        <w:tc>
          <w:tcPr>
            <w:tcW w:type="dxa" w:w="39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Register Reddit OAuth app at reddit.com/prefs/apps</w:t>
            </w:r>
          </w:p>
        </w:tc>
        <w:tc>
          <w:tcPr>
            <w:tcW w:type="dxa" w:w="195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Principal</w:t>
            </w:r>
          </w:p>
        </w:tc>
        <w:tc>
          <w:tcPr>
            <w:tcW w:type="dxa" w:w="195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Today</w:t>
            </w:r>
          </w:p>
        </w:tc>
      </w:tr>
      <w:tr>
        <w:tc>
          <w:tcPr>
            <w:tcW w:type="dxa" w:w="7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w:t>
            </w:r>
          </w:p>
        </w:tc>
        <w:tc>
          <w:tcPr>
            <w:tcW w:type="dxa" w:w="7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CRITICAL</w:t>
            </w:r>
          </w:p>
        </w:tc>
        <w:tc>
          <w:tcPr>
            <w:tcW w:type="dxa" w:w="39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Set up Discord webhook in A2E server for SENTINEL alerts</w:t>
            </w:r>
          </w:p>
        </w:tc>
        <w:tc>
          <w:tcPr>
            <w:tcW w:type="dxa" w:w="195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Principal</w:t>
            </w:r>
          </w:p>
        </w:tc>
        <w:tc>
          <w:tcPr>
            <w:tcW w:type="dxa" w:w="195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Today</w:t>
            </w:r>
          </w:p>
        </w:tc>
      </w:tr>
      <w:tr>
        <w:tc>
          <w:tcPr>
            <w:tcW w:type="dxa" w:w="7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3</w:t>
            </w:r>
          </w:p>
        </w:tc>
        <w:tc>
          <w:tcPr>
            <w:tcW w:type="dxa" w:w="7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HIGH</w:t>
            </w:r>
          </w:p>
        </w:tc>
        <w:tc>
          <w:tcPr>
            <w:tcW w:type="dxa" w:w="3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Build SENTINEL Layer 1 (H24-A through H24-E) in n8n</w:t>
            </w:r>
          </w:p>
        </w:tc>
        <w:tc>
          <w:tcPr>
            <w:tcW w:type="dxa" w:w="195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MICHA/GABRIEL</w:t>
            </w:r>
          </w:p>
        </w:tc>
        <w:tc>
          <w:tcPr>
            <w:tcW w:type="dxa" w:w="195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This week</w:t>
            </w:r>
          </w:p>
        </w:tc>
      </w:tr>
      <w:tr>
        <w:tc>
          <w:tcPr>
            <w:tcW w:type="dxa" w:w="7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4</w:t>
            </w:r>
          </w:p>
        </w:tc>
        <w:tc>
          <w:tcPr>
            <w:tcW w:type="dxa" w:w="7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HIGH</w:t>
            </w:r>
          </w:p>
        </w:tc>
        <w:tc>
          <w:tcPr>
            <w:tcW w:type="dxa" w:w="3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Build SENTINEL Layer 2 (H16b-A, H16b-B) in n8n</w:t>
            </w:r>
          </w:p>
        </w:tc>
        <w:tc>
          <w:tcPr>
            <w:tcW w:type="dxa" w:w="195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MICHA/GABRIEL</w:t>
            </w:r>
          </w:p>
        </w:tc>
        <w:tc>
          <w:tcPr>
            <w:tcW w:type="dxa" w:w="195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This week</w:t>
            </w:r>
          </w:p>
        </w:tc>
      </w:tr>
      <w:tr>
        <w:tc>
          <w:tcPr>
            <w:tcW w:type="dxa" w:w="7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5</w:t>
            </w:r>
          </w:p>
        </w:tc>
        <w:tc>
          <w:tcPr>
            <w:tcW w:type="dxa" w:w="7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HIGH</w:t>
            </w:r>
          </w:p>
        </w:tc>
        <w:tc>
          <w:tcPr>
            <w:tcW w:type="dxa" w:w="3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Build SENTINEL Layer 3 (H13b-A through H13b-C) in n8n</w:t>
            </w:r>
          </w:p>
        </w:tc>
        <w:tc>
          <w:tcPr>
            <w:tcW w:type="dxa" w:w="195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MICHA/GABRIEL</w:t>
            </w:r>
          </w:p>
        </w:tc>
        <w:tc>
          <w:tcPr>
            <w:tcW w:type="dxa" w:w="195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This week</w:t>
            </w:r>
          </w:p>
        </w:tc>
      </w:tr>
      <w:tr>
        <w:tc>
          <w:tcPr>
            <w:tcW w:type="dxa" w:w="7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6</w:t>
            </w:r>
          </w:p>
        </w:tc>
        <w:tc>
          <w:tcPr>
            <w:tcW w:type="dxa" w:w="7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HIGH</w:t>
            </w:r>
          </w:p>
        </w:tc>
        <w:tc>
          <w:tcPr>
            <w:tcW w:type="dxa" w:w="3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Build convergence engine + alert notification</w:t>
            </w:r>
          </w:p>
        </w:tc>
        <w:tc>
          <w:tcPr>
            <w:tcW w:type="dxa" w:w="195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MICHA/GABRIEL</w:t>
            </w:r>
          </w:p>
        </w:tc>
        <w:tc>
          <w:tcPr>
            <w:tcW w:type="dxa" w:w="195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This week</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MEDIUM</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Sign up Databento ($125 free credit)</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Principal</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This week</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MEDIUM</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Pull GME Jan 2021 + Jun 2024 OPRA data (free credit)</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MICHA</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After #7</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MEDIUM</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Build wash trade detector + ACF calculator (Python)</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MICHA</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After #8</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LOW</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Replicate 1+ Bradley smoking gun as POC</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MICHA</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2-3 weeks</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LOW</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Evaluate Databento Standard ($199/mo) based on POC results</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Principal</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After #10</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STRATEGIC</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Map options microstructure detection to PhD Block 1 proposal</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Principal/MICHA</w:t>
            </w:r>
          </w:p>
        </w:tc>
        <w:tc>
          <w:tcPr>
            <w:tcW w:type="dxa" w:w="1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Before Jan 2027</w:t>
            </w:r>
          </w:p>
        </w:tc>
      </w:tr>
    </w:tbl>
    <w:p>
      <w:pPr>
        <w:pBdr>
          <w:bottom w:val="single" w:color="008080" w:sz="6" w:space="1"/>
        </w:pBdr>
        <w:spacing w:before="200" w:after="200"/>
      </w:pPr>
    </w:p>
    <w:p>
      <w:pPr>
        <w:pStyle w:val="Heading1"/>
        <w:spacing w:before="300" w:after="150"/>
      </w:pPr>
      <w:r>
        <w:rPr>
          <w:rFonts w:ascii="Arial" w:cs="Arial" w:eastAsia="Arial" w:hAnsi="Arial"/>
          <w:b/>
          <w:bCs/>
          <w:color w:val="008080"/>
          <w:sz w:val="32"/>
          <w:szCs w:val="32"/>
        </w:rPr>
        <w:t xml:space="preserve">9.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Monthly</w:t>
            </w:r>
          </w:p>
        </w:tc>
        <w:tc>
          <w:tcPr>
            <w:tcW w:type="dxa" w:w="156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Annual</w:t>
            </w:r>
          </w:p>
        </w:tc>
        <w:tc>
          <w:tcPr>
            <w:tcW w:type="dxa" w:w="312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Reddit API</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Free (non-commercial OAuth)</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Finnhub Social Sentiment</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Free (existing key)</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Unusual Whales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Paid through ~June 2026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Claude Haiku (LLM Scorer)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Per-use API billing</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Discord Webhook</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Free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Databento (Phase 1)</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$0</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$125 free credit</w:t>
            </w:r>
          </w:p>
        </w:tc>
      </w:tr>
      <w:tr>
        <w:tc>
          <w:tcPr>
            <w:tcW w:type="dxa" w:w="31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Databento (Phase 2, if POC validates)</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$199</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$2,388</w:t>
            </w:r>
          </w:p>
        </w:tc>
        <w:tc>
          <w:tcPr>
            <w:tcW w:type="dxa" w:w="31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1A1A1A"/>
                <w:sz w:val="20"/>
                <w:szCs w:val="20"/>
              </w:rPr>
              <w:t xml:space="preserve">Decision after POC</w:t>
            </w:r>
          </w:p>
        </w:tc>
      </w:tr>
      <w:tr>
        <w:tc>
          <w:tcPr>
            <w:tcW w:type="dxa" w:w="312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 (Phase 1)</w:t>
            </w:r>
          </w:p>
        </w:tc>
        <w:tc>
          <w:tcPr>
            <w:tcW w:type="dxa" w:w="156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~$12/mo</w:t>
            </w:r>
          </w:p>
        </w:tc>
        <w:tc>
          <w:tcPr>
            <w:tcW w:type="dxa" w:w="156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~$144/yr</w:t>
            </w:r>
          </w:p>
        </w:tc>
        <w:tc>
          <w:tcPr>
            <w:tcW w:type="dxa" w:w="3120"/>
            <w:tcBorders>
              <w:top w:val="single" w:color="CCCCCC" w:sz="1"/>
              <w:left w:val="single" w:color="CCCCCC" w:sz="1"/>
              <w:bottom w:val="single" w:color="CCCCCC" w:sz="1"/>
              <w:right w:val="single" w:color="CCCCCC" w:sz="1"/>
            </w:tcBorders>
            <w:shd w:fill="00808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Minimal incremental cost</w:t>
            </w:r>
          </w:p>
        </w:tc>
      </w:tr>
    </w:tbl>
    <w:p>
      <w:pPr>
        <w:pBdr>
          <w:bottom w:val="single" w:color="008080" w:sz="6" w:space="1"/>
        </w:pBdr>
        <w:spacing w:before="200" w:after="200"/>
      </w:pPr>
    </w:p>
    <w:p>
      <w:pPr>
        <w:pStyle w:val="Heading1"/>
        <w:spacing w:before="300" w:after="150"/>
      </w:pPr>
      <w:r>
        <w:rPr>
          <w:rFonts w:ascii="Arial" w:cs="Arial" w:eastAsia="Arial" w:hAnsi="Arial"/>
          <w:b/>
          <w:bCs/>
          <w:color w:val="008080"/>
          <w:sz w:val="32"/>
          <w:szCs w:val="32"/>
        </w:rPr>
        <w:t xml:space="preserve">10. CONCLUSION</w:t>
      </w:r>
    </w:p>
    <w:p>
      <w:pPr>
        <w:spacing w:after="120"/>
        <w:jc w:val="left"/>
      </w:pPr>
      <w:r>
        <w:rPr>
          <w:rFonts w:ascii="Arial" w:cs="Arial" w:eastAsia="Arial" w:hAnsi="Arial"/>
          <w:b w:val="false"/>
          <w:bCs w:val="false"/>
          <w:i w:val="false"/>
          <w:iCs w:val="false"/>
          <w:color w:val="1A1A1A"/>
          <w:sz w:val="22"/>
          <w:szCs w:val="22"/>
        </w:rPr>
        <w:t xml:space="preserve">This intelligence event confirms what we have been building toward: pattern recognition applied to increasingly granular data layers produces increasingly actionable signals. The SILVER PATTERN protocol proved the methodology works on physical delivery microstructure. Bradley’s work proves it works on options microstructure. The SENTINEL Stack bridges the gap between manual surveillance and automated detection.</w:t>
      </w:r>
    </w:p>
    <w:p>
      <w:pPr>
        <w:spacing w:after="80"/>
      </w:pPr>
    </w:p>
    <w:p>
      <w:pPr>
        <w:spacing w:after="120"/>
        <w:jc w:val="left"/>
      </w:pPr>
      <w:r>
        <w:rPr>
          <w:rFonts w:ascii="Arial" w:cs="Arial" w:eastAsia="Arial" w:hAnsi="Arial"/>
          <w:b w:val="false"/>
          <w:bCs w:val="false"/>
          <w:i w:val="false"/>
          <w:iCs w:val="false"/>
          <w:color w:val="1A1A1A"/>
          <w:sz w:val="22"/>
          <w:szCs w:val="22"/>
        </w:rPr>
        <w:t xml:space="preserve">The immediate priority is deploying SENTINEL Layers 1-3 to close the social intelligence gap. The medium-term priority is Databento OPRA access to extend pattern recognition into the options microstructure layer. The long-term strategic play is mapping this entire framework to the PhD program as a multi-agent market manipulation detection system.</w:t>
      </w:r>
    </w:p>
    <w:p>
      <w:pPr>
        <w:spacing w:after="80"/>
      </w:pPr>
    </w:p>
    <w:p>
      <w:pPr>
        <w:spacing w:after="120"/>
        <w:jc w:val="left"/>
      </w:pPr>
      <w:r>
        <w:rPr>
          <w:rFonts w:ascii="Arial" w:cs="Arial" w:eastAsia="Arial" w:hAnsi="Arial"/>
          <w:b/>
          <w:bCs/>
          <w:color w:val="008080"/>
          <w:sz w:val="22"/>
          <w:szCs w:val="22"/>
        </w:rPr>
        <w:t xml:space="preserve">Bottom line: </w:t>
      </w:r>
      <w:r>
        <w:rPr>
          <w:rFonts w:ascii="Arial" w:cs="Arial" w:eastAsia="Arial" w:hAnsi="Arial"/>
          <w:sz w:val="22"/>
          <w:szCs w:val="22"/>
        </w:rPr>
        <w:t xml:space="preserve">We adopt the tools, not the narrative. The pattern recognition methodology is sound regardless of whether Bradley’s conspiracy thesis is correct. ACF analysis, wash trade detection, tenor distribution analysis, and exchange code forensics are independently valuable capabilities that extend our existing architecture into a data layer nobody in retail is watching.</w:t>
      </w:r>
    </w:p>
    <w:p>
      <w:pPr>
        <w:spacing w:after="80"/>
      </w:pPr>
    </w:p>
    <w:p>
      <w:pPr>
        <w:spacing w:after="80"/>
      </w:pPr>
    </w:p>
    <w:p>
      <w:pPr>
        <w:pBdr>
          <w:top w:val="single" w:color="008080" w:sz="4" w:space="1"/>
        </w:pBdr>
        <w:spacing w:before="300"/>
        <w:jc w:val="center"/>
      </w:pPr>
      <w:r>
        <w:rPr>
          <w:rFonts w:ascii="Arial" w:cs="Arial" w:eastAsia="Arial" w:hAnsi="Arial"/>
          <w:i/>
          <w:iCs/>
          <w:color w:val="008080"/>
          <w:sz w:val="22"/>
          <w:szCs w:val="22"/>
        </w:rPr>
        <w:t xml:space="preserve">“Loss is tuition for knowledge.”</w:t>
      </w:r>
    </w:p>
    <w:p>
      <w:pPr>
        <w:spacing w:after="100"/>
        <w:jc w:val="center"/>
      </w:pPr>
      <w:r>
        <w:rPr>
          <w:rFonts w:ascii="Arial" w:cs="Arial" w:eastAsia="Arial" w:hAnsi="Arial"/>
          <w:color w:val="666666"/>
          <w:sz w:val="18"/>
          <w:szCs w:val="18"/>
        </w:rPr>
        <w:t xml:space="preserve">METATRON v10.3  |  MICHA — CIO, Uriel Covenant  |  Ashes2Echoes, LLC</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Ashes2Echoes, LLC  |  Uriel Covenant AI Collective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08080"/>
        <w:sz w:val="16"/>
        <w:szCs w:val="16"/>
      </w:rPr>
      <w:t xml:space="preserve">ORACLE INTELLIGENCE REPORT</w:t>
    </w:r>
    <w:r>
      <w:rPr>
        <w:rFonts w:ascii="Arial" w:cs="Arial" w:eastAsia="Arial" w:hAnsi="Arial"/>
        <w:color w:val="666666"/>
        <w:sz w:val="16"/>
        <w:szCs w:val="16"/>
      </w:rPr>
      <w:t xml:space="preserve">  |  METATRON v10.3  |  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00808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0080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2026-02-15T18:17:52.818Z</dcterms:created>
  <dcterms:modified xsi:type="dcterms:W3CDTF">2026-02-15T18:17:52.819Z</dcterms:modified>
</cp:coreProperties>
</file>

<file path=docProps/custom.xml><?xml version="1.0" encoding="utf-8"?>
<Properties xmlns="http://schemas.openxmlformats.org/officeDocument/2006/custom-properties" xmlns:vt="http://schemas.openxmlformats.org/officeDocument/2006/docPropsVTypes"/>
</file>