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1a2e"/>
          <w:sz w:val="40"/>
          <w:szCs w:val="40"/>
        </w:rPr>
        <w:t xml:space="preserve">E*TRADE PORTFOLIO RECONFIGURATION</w:t>
      </w:r>
    </w:p>
    <w:p>
      <w:pPr>
        <w:spacing w:after="60"/>
        <w:jc w:val="center"/>
      </w:pPr>
      <w:r>
        <w:rPr>
          <w:rFonts w:ascii="Arial" w:cs="Arial" w:eastAsia="Arial" w:hAnsi="Arial"/>
          <w:b/>
          <w:bCs/>
          <w:color w:val="00d4aa"/>
          <w:sz w:val="28"/>
          <w:szCs w:val="28"/>
        </w:rPr>
        <w:t xml:space="preserve">THE $1-BY-$1 RESET</w:t>
      </w:r>
    </w:p>
    <w:p>
      <w:pPr>
        <w:spacing w:after="60"/>
        <w:jc w:val="center"/>
      </w:pPr>
      <w:r>
        <w:rPr>
          <w:rFonts w:ascii="Arial" w:cs="Arial" w:eastAsia="Arial" w:hAnsi="Arial"/>
          <w:color w:val="999999"/>
          <w:sz w:val="18"/>
          <w:szCs w:val="18"/>
        </w:rPr>
        <w:t xml:space="preserve">Execute Date: March 12, 2026 | Market Hours</w:t>
      </w:r>
    </w:p>
    <w:p>
      <w:pPr>
        <w:spacing w:after="300"/>
        <w:jc w:val="center"/>
      </w:pPr>
      <w:r>
        <w:rPr>
          <w:rFonts w:ascii="Arial" w:cs="Arial" w:eastAsia="Arial" w:hAnsi="Arial"/>
          <w:b/>
          <w:bCs/>
          <w:color w:val="CC0000"/>
          <w:sz w:val="18"/>
          <w:szCs w:val="18"/>
        </w:rPr>
        <w:t xml:space="preserve">IRONCLAD v2.1 RULES IN EFFECT | All orders are LIMIT unless noted</w:t>
      </w:r>
    </w:p>
    <w:p>
      <w:pPr>
        <w:pStyle w:val="Heading1"/>
      </w:pPr>
      <w:r>
        <w:t xml:space="preserve">PHASE 1 — PROTECT THE GREEN (Do This First)</w:t>
      </w:r>
    </w:p>
    <w:p>
      <w:pPr>
        <w:spacing w:after="150"/>
      </w:pPr>
      <w:r>
        <w:rPr>
          <w:rFonts w:ascii="Arial" w:cs="Arial" w:eastAsia="Arial" w:hAnsi="Arial"/>
          <w:b/>
          <w:bCs/>
          <w:sz w:val="22"/>
          <w:szCs w:val="22"/>
        </w:rPr>
        <w:t xml:space="preserve">Set breakeven stops on every winning position. This locks in ~$1,250 as your floor. Takes 5 minutes. Do this before anything else.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800"/>
        <w:gridCol w:w="1300"/>
        <w:gridCol w:w="1300"/>
        <w:gridCol w:w="1300"/>
        <w:gridCol w:w="2780"/>
      </w:tblGrid>
      <w:tr>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Acct</w:t>
            </w:r>
          </w:p>
        </w:tc>
        <w:tc>
          <w:tcPr>
            <w:tcW w:type="dxa" w:w="1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Symbol</w:t>
            </w:r>
          </w:p>
        </w:tc>
        <w:tc>
          <w:tcPr>
            <w:tcW w:type="dxa" w:w="8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Qty</w:t>
            </w:r>
          </w:p>
        </w:tc>
        <w:tc>
          <w:tcPr>
            <w:tcW w:type="dxa" w:w="13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Stop Price</w:t>
            </w:r>
          </w:p>
        </w:tc>
        <w:tc>
          <w:tcPr>
            <w:tcW w:type="dxa" w:w="13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Order Type</w:t>
            </w:r>
          </w:p>
        </w:tc>
        <w:tc>
          <w:tcPr>
            <w:tcW w:type="dxa" w:w="13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Duration</w:t>
            </w:r>
          </w:p>
        </w:tc>
        <w:tc>
          <w:tcPr>
            <w:tcW w:type="dxa" w:w="27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Note</w:t>
            </w:r>
          </w:p>
        </w:tc>
      </w:tr>
      <w:tr>
        <w:tc>
          <w:tcPr>
            <w:tcW w:type="dxa" w:w="11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-6685</w:t>
            </w:r>
          </w:p>
        </w:tc>
        <w:tc>
          <w:tcPr>
            <w:tcW w:type="dxa" w:w="1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COPX</w:t>
            </w:r>
          </w:p>
        </w:tc>
        <w:tc>
          <w:tcPr>
            <w:tcW w:type="dxa" w:w="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$77.38</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Stop on Quote</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GTC</w:t>
            </w:r>
          </w:p>
        </w:tc>
        <w:tc>
          <w:tcPr>
            <w:tcW w:type="dxa" w:w="278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+5.4% — Breakeven stop NOW</w:t>
            </w:r>
          </w:p>
        </w:tc>
      </w:tr>
      <w:tr>
        <w:tc>
          <w:tcPr>
            <w:tcW w:type="dxa" w:w="11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-6685</w:t>
            </w:r>
          </w:p>
        </w:tc>
        <w:tc>
          <w:tcPr>
            <w:tcW w:type="dxa" w:w="1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SIL</w:t>
            </w:r>
          </w:p>
        </w:tc>
        <w:tc>
          <w:tcPr>
            <w:tcW w:type="dxa" w:w="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61</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$97.84</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Stop on Quote</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GTC</w:t>
            </w:r>
          </w:p>
        </w:tc>
        <w:tc>
          <w:tcPr>
            <w:tcW w:type="dxa" w:w="278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+4.7% — Breakeven stop</w:t>
            </w:r>
          </w:p>
        </w:tc>
      </w:tr>
      <w:tr>
        <w:tc>
          <w:tcPr>
            <w:tcW w:type="dxa" w:w="11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-6685</w:t>
            </w:r>
          </w:p>
        </w:tc>
        <w:tc>
          <w:tcPr>
            <w:tcW w:type="dxa" w:w="1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PSLV</w:t>
            </w:r>
          </w:p>
        </w:tc>
        <w:tc>
          <w:tcPr>
            <w:tcW w:type="dxa" w:w="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368</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$27.43</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Stop on Quote</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GTC</w:t>
            </w:r>
          </w:p>
        </w:tc>
        <w:tc>
          <w:tcPr>
            <w:tcW w:type="dxa" w:w="278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+3.4% — Breakeven stop</w:t>
            </w:r>
          </w:p>
        </w:tc>
      </w:tr>
      <w:tr>
        <w:tc>
          <w:tcPr>
            <w:tcW w:type="dxa" w:w="11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-6685</w:t>
            </w:r>
          </w:p>
        </w:tc>
        <w:tc>
          <w:tcPr>
            <w:tcW w:type="dxa" w:w="1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FCX</w:t>
            </w:r>
          </w:p>
        </w:tc>
        <w:tc>
          <w:tcPr>
            <w:tcW w:type="dxa" w:w="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182</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$59.67</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Stop on Quote</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GTC</w:t>
            </w:r>
          </w:p>
        </w:tc>
        <w:tc>
          <w:tcPr>
            <w:tcW w:type="dxa" w:w="278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 — Breakeven stop</w:t>
            </w:r>
          </w:p>
        </w:tc>
      </w:tr>
      <w:tr>
        <w:tc>
          <w:tcPr>
            <w:tcW w:type="dxa" w:w="11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-4898</w:t>
            </w:r>
          </w:p>
        </w:tc>
        <w:tc>
          <w:tcPr>
            <w:tcW w:type="dxa" w:w="1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XLE</w:t>
            </w:r>
          </w:p>
        </w:tc>
        <w:tc>
          <w:tcPr>
            <w:tcW w:type="dxa" w:w="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$55.63</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Stop on Quote</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GTC</w:t>
            </w:r>
          </w:p>
        </w:tc>
        <w:tc>
          <w:tcPr>
            <w:tcW w:type="dxa" w:w="278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+3.3% — Breakeven stop</w:t>
            </w:r>
          </w:p>
        </w:tc>
      </w:tr>
    </w:tbl>
    <w:p>
      <w:pPr>
        <w:spacing w:after="100" w:before="200"/>
      </w:pPr>
      <w:r>
        <w:rPr>
          <w:rFonts w:ascii="Arial" w:cs="Arial" w:eastAsia="Arial" w:hAnsi="Arial"/>
          <w:b/>
          <w:bCs/>
          <w:color w:val="008800"/>
          <w:sz w:val="20"/>
          <w:szCs w:val="20"/>
        </w:rPr>
        <w:t xml:space="preserve">✅ CHECKPOINT: Confirm all 5 stops are WORKING in Orders tab before proceeding to Phase 2.</w:t>
      </w:r>
    </w:p>
    <w:p>
      <w:pPr>
        <w:pStyle w:val="Heading1"/>
      </w:pPr>
      <w:r>
        <w:t xml:space="preserve">PHASE 2 — CUT THE ANCHORS (Half Positions)</w:t>
      </w:r>
    </w:p>
    <w:p>
      <w:pPr>
        <w:spacing w:after="150"/>
      </w:pPr>
      <w:r>
        <w:rPr>
          <w:rFonts w:ascii="Arial" w:cs="Arial" w:eastAsia="Arial" w:hAnsi="Arial"/>
          <w:sz w:val="22"/>
          <w:szCs w:val="22"/>
        </w:rPr>
        <w:t xml:space="preserve">Sell half of JEPI and SCHD to stop the bleeding and free capital. Use LIMIT orders at or near the bid to ensure execution. Realized losses offset gains for tax purposes.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700"/>
        <w:gridCol w:w="1300"/>
        <w:gridCol w:w="1300"/>
        <w:gridCol w:w="1300"/>
        <w:gridCol w:w="3280"/>
      </w:tblGrid>
      <w:tr>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Acct</w:t>
            </w:r>
          </w:p>
        </w:tc>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Symbol</w:t>
            </w:r>
          </w:p>
        </w:tc>
        <w:tc>
          <w:tcPr>
            <w:tcW w:type="dxa" w:w="7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Qty</w:t>
            </w:r>
          </w:p>
        </w:tc>
        <w:tc>
          <w:tcPr>
            <w:tcW w:type="dxa" w:w="13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Action</w:t>
            </w:r>
          </w:p>
        </w:tc>
        <w:tc>
          <w:tcPr>
            <w:tcW w:type="dxa" w:w="13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Order Type</w:t>
            </w:r>
          </w:p>
        </w:tc>
        <w:tc>
          <w:tcPr>
            <w:tcW w:type="dxa" w:w="13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Est. Cash</w:t>
            </w:r>
          </w:p>
        </w:tc>
        <w:tc>
          <w:tcPr>
            <w:tcW w:type="dxa" w:w="32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Note</w:t>
            </w:r>
          </w:p>
        </w:tc>
      </w:tr>
      <w:tr>
        <w:tc>
          <w:tcPr>
            <w:tcW w:type="dxa" w:w="11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-4898</w:t>
            </w:r>
          </w:p>
        </w:tc>
        <w:tc>
          <w:tcPr>
            <w:tcW w:type="dxa" w:w="11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bCs/>
                <w:color w:val="333333"/>
                <w:sz w:val="20"/>
                <w:szCs w:val="20"/>
              </w:rPr>
              <w:t xml:space="preserve">JEPI</w:t>
            </w:r>
          </w:p>
        </w:tc>
        <w:tc>
          <w:tcPr>
            <w:tcW w:type="dxa" w:w="7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w:t>
            </w:r>
          </w:p>
        </w:tc>
        <w:tc>
          <w:tcPr>
            <w:tcW w:type="dxa" w:w="13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bCs/>
                <w:color w:val="CC0000"/>
                <w:sz w:val="20"/>
                <w:szCs w:val="20"/>
              </w:rPr>
              <w:t xml:space="preserve">SELL</w:t>
            </w:r>
          </w:p>
        </w:tc>
        <w:tc>
          <w:tcPr>
            <w:tcW w:type="dxa" w:w="13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Limit @ $57.70</w:t>
            </w:r>
          </w:p>
        </w:tc>
        <w:tc>
          <w:tcPr>
            <w:tcW w:type="dxa" w:w="13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$2,481</w:t>
            </w:r>
          </w:p>
        </w:tc>
        <w:tc>
          <w:tcPr>
            <w:tcW w:type="dxa" w:w="328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Realizes ~-$59 loss</w:t>
            </w:r>
          </w:p>
        </w:tc>
      </w:tr>
      <w:tr>
        <w:tc>
          <w:tcPr>
            <w:tcW w:type="dxa" w:w="11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-6685</w:t>
            </w:r>
          </w:p>
        </w:tc>
        <w:tc>
          <w:tcPr>
            <w:tcW w:type="dxa" w:w="11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bCs/>
                <w:color w:val="333333"/>
                <w:sz w:val="20"/>
                <w:szCs w:val="20"/>
              </w:rPr>
              <w:t xml:space="preserve">JEPI</w:t>
            </w:r>
          </w:p>
        </w:tc>
        <w:tc>
          <w:tcPr>
            <w:tcW w:type="dxa" w:w="7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510</w:t>
            </w:r>
          </w:p>
        </w:tc>
        <w:tc>
          <w:tcPr>
            <w:tcW w:type="dxa" w:w="13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bCs/>
                <w:color w:val="CC0000"/>
                <w:sz w:val="20"/>
                <w:szCs w:val="20"/>
              </w:rPr>
              <w:t xml:space="preserve">SELL</w:t>
            </w:r>
          </w:p>
        </w:tc>
        <w:tc>
          <w:tcPr>
            <w:tcW w:type="dxa" w:w="13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Limit @ $57.70</w:t>
            </w:r>
          </w:p>
        </w:tc>
        <w:tc>
          <w:tcPr>
            <w:tcW w:type="dxa" w:w="13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$29,427</w:t>
            </w:r>
          </w:p>
        </w:tc>
        <w:tc>
          <w:tcPr>
            <w:tcW w:type="dxa" w:w="328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Realizes ~-$622 loss</w:t>
            </w:r>
          </w:p>
        </w:tc>
      </w:tr>
      <w:tr>
        <w:tc>
          <w:tcPr>
            <w:tcW w:type="dxa" w:w="11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-4898</w:t>
            </w:r>
          </w:p>
        </w:tc>
        <w:tc>
          <w:tcPr>
            <w:tcW w:type="dxa" w:w="11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SCHD</w:t>
            </w:r>
          </w:p>
        </w:tc>
        <w:tc>
          <w:tcPr>
            <w:tcW w:type="dxa" w:w="7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w:t>
            </w:r>
          </w:p>
        </w:tc>
        <w:tc>
          <w:tcPr>
            <w:tcW w:type="dxa" w:w="13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bCs/>
                <w:color w:val="CC0000"/>
                <w:sz w:val="20"/>
                <w:szCs w:val="20"/>
              </w:rPr>
              <w:t xml:space="preserve">SELL</w:t>
            </w:r>
          </w:p>
        </w:tc>
        <w:tc>
          <w:tcPr>
            <w:tcW w:type="dxa" w:w="13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Limit @ $30.95</w:t>
            </w:r>
          </w:p>
        </w:tc>
        <w:tc>
          <w:tcPr>
            <w:tcW w:type="dxa" w:w="13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$2,476</w:t>
            </w:r>
          </w:p>
        </w:tc>
        <w:tc>
          <w:tcPr>
            <w:tcW w:type="dxa" w:w="328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Realizes ~-$42 loss</w:t>
            </w:r>
          </w:p>
        </w:tc>
      </w:tr>
      <w:tr>
        <w:tc>
          <w:tcPr>
            <w:tcW w:type="dxa" w:w="11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-6685</w:t>
            </w:r>
          </w:p>
        </w:tc>
        <w:tc>
          <w:tcPr>
            <w:tcW w:type="dxa" w:w="11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SCHD</w:t>
            </w:r>
          </w:p>
        </w:tc>
        <w:tc>
          <w:tcPr>
            <w:tcW w:type="dxa" w:w="7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874</w:t>
            </w:r>
          </w:p>
        </w:tc>
        <w:tc>
          <w:tcPr>
            <w:tcW w:type="dxa" w:w="13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bCs/>
                <w:color w:val="CC0000"/>
                <w:sz w:val="20"/>
                <w:szCs w:val="20"/>
              </w:rPr>
              <w:t xml:space="preserve">SELL</w:t>
            </w:r>
          </w:p>
        </w:tc>
        <w:tc>
          <w:tcPr>
            <w:tcW w:type="dxa" w:w="13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Limit @ $30.95</w:t>
            </w:r>
          </w:p>
        </w:tc>
        <w:tc>
          <w:tcPr>
            <w:tcW w:type="dxa" w:w="130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$27,050</w:t>
            </w:r>
          </w:p>
        </w:tc>
        <w:tc>
          <w:tcPr>
            <w:tcW w:type="dxa" w:w="3280"/>
            <w:tcBorders>
              <w:top w:val="single" w:color="999999" w:sz="1"/>
              <w:left w:val="single" w:color="999999" w:sz="1"/>
              <w:bottom w:val="single" w:color="999999" w:sz="1"/>
              <w:right w:val="single" w:color="999999" w:sz="1"/>
            </w:tcBorders>
            <w:shd w:fill="fce4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Realizes ~-$411 loss</w:t>
            </w:r>
          </w:p>
        </w:tc>
      </w:tr>
    </w:tbl>
    <w:p>
      <w:pPr>
        <w:spacing w:after="50" w:before="150"/>
      </w:pPr>
      <w:r>
        <w:rPr>
          <w:rFonts w:ascii="Arial" w:cs="Arial" w:eastAsia="Arial" w:hAnsi="Arial"/>
          <w:b/>
          <w:bCs/>
          <w:sz w:val="22"/>
          <w:szCs w:val="22"/>
        </w:rPr>
        <w:t xml:space="preserve">Total realized loss: -$1,134 | Total cash freed: ~$61,435</w:t>
      </w:r>
    </w:p>
    <w:p>
      <w:pPr>
        <w:spacing w:after="100"/>
      </w:pPr>
      <w:r>
        <w:rPr>
          <w:rFonts w:ascii="Arial" w:cs="Arial" w:eastAsia="Arial" w:hAnsi="Arial"/>
          <w:color w:val="666666"/>
          <w:sz w:val="20"/>
          <w:szCs w:val="20"/>
        </w:rPr>
        <w:t xml:space="preserve">Tax offset: These losses wash against $1,163 in realized gains from Phase 3 trims. Net tax impact: near zero.</w:t>
      </w:r>
    </w:p>
    <w:p>
      <w:r>
        <w:rPr>
          <w:rFonts w:ascii="Arial" w:cs="Arial" w:eastAsia="Arial" w:hAnsi="Arial"/>
          <w:b/>
          <w:bCs/>
          <w:color w:val="008800"/>
          <w:sz w:val="20"/>
          <w:szCs w:val="20"/>
        </w:rPr>
        <w:t xml:space="preserve">✅ CHECKPOINT: Confirm all 4 sell orders filled. Note exact fill prices for tax records.</w:t>
      </w:r>
    </w:p>
    <w:p>
      <w:pPr>
        <w:pStyle w:val="Heading1"/>
      </w:pPr>
      <w:r>
        <w:t xml:space="preserve">PHASE 3 — REDEPLOY THE CAPITAL</w:t>
      </w:r>
    </w:p>
    <w:p>
      <w:pPr>
        <w:spacing w:after="150"/>
      </w:pPr>
      <w:r>
        <w:rPr>
          <w:rFonts w:ascii="Arial" w:cs="Arial" w:eastAsia="Arial" w:hAnsi="Arial"/>
          <w:sz w:val="22"/>
          <w:szCs w:val="22"/>
        </w:rPr>
        <w:t xml:space="preserve">Wait for Phase 2 cash to settle (T+1). Then deploy in priority order. Do NOT rush — cash in the account earning 0% for one day costs you nothing. Deploying into the wrong entry costs you everything.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100"/>
        <w:gridCol w:w="1300"/>
        <w:gridCol w:w="900"/>
        <w:gridCol w:w="1100"/>
        <w:gridCol w:w="1100"/>
        <w:gridCol w:w="2580"/>
      </w:tblGrid>
      <w:tr>
        <w:tc>
          <w:tcPr>
            <w:tcW w:type="dxa" w:w="8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w:t>
            </w:r>
          </w:p>
        </w:tc>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Acct</w:t>
            </w:r>
          </w:p>
        </w:tc>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Symbol</w:t>
            </w:r>
          </w:p>
        </w:tc>
        <w:tc>
          <w:tcPr>
            <w:tcW w:type="dxa" w:w="13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Action</w:t>
            </w:r>
          </w:p>
        </w:tc>
        <w:tc>
          <w:tcPr>
            <w:tcW w:type="dxa" w:w="9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Ring</w:t>
            </w:r>
          </w:p>
        </w:tc>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Amount</w:t>
            </w:r>
          </w:p>
        </w:tc>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Stop</w:t>
            </w:r>
          </w:p>
        </w:tc>
        <w:tc>
          <w:tcPr>
            <w:tcW w:type="dxa" w:w="25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Thesis</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1</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-6685</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SGOV</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008800"/>
                <w:sz w:val="20"/>
                <w:szCs w:val="20"/>
              </w:rPr>
              <w:t xml:space="preserve">BUY</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R1</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$20–25K</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NONE</w:t>
            </w:r>
          </w:p>
        </w:tc>
        <w:tc>
          <w:tcPr>
            <w:tcW w:type="dxa" w:w="2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Fortress. 3.25% yield. Park here while scanning for entries. This is your anchor.</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2</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-4898</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XLV</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008800"/>
                <w:sz w:val="20"/>
                <w:szCs w:val="20"/>
              </w:rPr>
              <w:t xml:space="preserve">BUY</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R3</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$10–12K</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8.5%</w:t>
            </w:r>
          </w:p>
        </w:tc>
        <w:tc>
          <w:tcPr>
            <w:tcW w:type="dxa" w:w="2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Healthcare defensive rotation. #1 ranked play. Led all sectors 3/10. Wait for a dip toward $150–152 or buy market on confirmation.</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3</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-4898</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XLE add</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008800"/>
                <w:sz w:val="20"/>
                <w:szCs w:val="20"/>
              </w:rPr>
              <w:t xml:space="preserve">BUY</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R4</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$5K</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2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Add to existing 100 shares. Oil &gt;$90 with no resolution. Tactical — trim at +5–7%. Do not fall in love.</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4</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Both</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CASH</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HOLD</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$15–20K</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w:t>
            </w:r>
          </w:p>
        </w:tc>
        <w:tc>
          <w:tcPr>
            <w:tcW w:type="dxa" w:w="2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Dry powder. Do not deploy until a gate-cleared thesis presents. Cash is a position. Cash does not lose.</w:t>
            </w:r>
          </w:p>
        </w:tc>
      </w:tr>
    </w:tbl>
    <w:p>
      <w:pPr>
        <w:spacing w:before="200"/>
      </w:pPr>
    </w:p>
    <w:p>
      <w:pPr>
        <w:pStyle w:val="Heading1"/>
      </w:pPr>
      <w:r>
        <w:t xml:space="preserve">PHASE 4 — REMAINING POSITIONS (No Action)</w:t>
      </w:r>
    </w:p>
    <w:p>
      <w:pPr>
        <w:spacing w:after="150"/>
      </w:pPr>
      <w:r>
        <w:rPr>
          <w:rFonts w:ascii="Arial" w:cs="Arial" w:eastAsia="Arial" w:hAnsi="Arial"/>
          <w:sz w:val="22"/>
          <w:szCs w:val="22"/>
        </w:rPr>
        <w:t xml:space="preserve">These positions stay as-is. They are either thesis-aligned, too small to matter, or need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800"/>
        <w:gridCol w:w="1200"/>
        <w:gridCol w:w="4780"/>
      </w:tblGrid>
      <w:tr>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Acct</w:t>
            </w:r>
          </w:p>
        </w:tc>
        <w:tc>
          <w:tcPr>
            <w:tcW w:type="dxa" w:w="1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Symbol</w:t>
            </w:r>
          </w:p>
        </w:tc>
        <w:tc>
          <w:tcPr>
            <w:tcW w:type="dxa" w:w="18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Status</w:t>
            </w:r>
          </w:p>
        </w:tc>
        <w:tc>
          <w:tcPr>
            <w:tcW w:type="dxa" w:w="1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Ring</w:t>
            </w:r>
          </w:p>
        </w:tc>
        <w:tc>
          <w:tcPr>
            <w:tcW w:type="dxa" w:w="47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left"/>
            </w:pPr>
            <w:r>
              <w:rPr>
                <w:rFonts w:ascii="Arial" w:cs="Arial" w:eastAsia="Arial" w:hAnsi="Arial"/>
                <w:b/>
                <w:bCs/>
                <w:color w:val="00d4aa"/>
                <w:sz w:val="20"/>
                <w:szCs w:val="20"/>
              </w:rPr>
              <w:t xml:space="preserve">Action</w:t>
            </w:r>
          </w:p>
        </w:tc>
      </w:tr>
      <w:tr>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Both</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PSLV</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Thesis hold</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R2</w:t>
            </w:r>
          </w:p>
        </w:tc>
        <w:tc>
          <w:tcPr>
            <w:tcW w:type="dxa" w:w="4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520 shares in 4898 underwater (-$429). 368 in 6685 green (+$339). Net: -$90. Silver thesis intact. 10% stop per v2.1. Do NOT add until DXY turns.</w:t>
            </w:r>
          </w:p>
        </w:tc>
      </w:tr>
      <w:tr>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Both</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SIL</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Split</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R2</w:t>
            </w:r>
          </w:p>
        </w:tc>
        <w:tc>
          <w:tcPr>
            <w:tcW w:type="dxa" w:w="4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 in 4898 deep red (-$447). 61 in 6685 green (+$279). Net: -$168. Silver miners thesis. 10% stop. Monitor.</w:t>
            </w:r>
          </w:p>
        </w:tc>
      </w:tr>
      <w:tr>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Both</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SLVR</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Red</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R2</w:t>
            </w:r>
          </w:p>
        </w:tc>
        <w:tc>
          <w:tcPr>
            <w:tcW w:type="dxa" w:w="4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 in 4898 (-$135), 75 in 6685 (-$194). Total: -$329. Leveraged silver. Highest risk. 10% stop from here.</w:t>
            </w:r>
          </w:p>
        </w:tc>
      </w:tr>
      <w:tr>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Both</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COPX</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Split</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R3</w:t>
            </w:r>
          </w:p>
        </w:tc>
        <w:tc>
          <w:tcPr>
            <w:tcW w:type="dxa" w:w="4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110 in 4898 flat (-$16). 40 in 6685 green (+$166). Copper play. Breakeven stop set on 6685 in Phase 1.</w:t>
            </w:r>
          </w:p>
        </w:tc>
      </w:tr>
      <w:tr>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-4898</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CEF</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Green</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R2</w:t>
            </w:r>
          </w:p>
        </w:tc>
        <w:tc>
          <w:tcPr>
            <w:tcW w:type="dxa" w:w="4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65 shares, +$43. Closed-end fund. Small position doing its job quietly.</w:t>
            </w:r>
          </w:p>
        </w:tc>
      </w:tr>
      <w:tr>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-4898</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LHX</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Red</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R3</w:t>
            </w:r>
          </w:p>
        </w:tc>
        <w:tc>
          <w:tcPr>
            <w:tcW w:type="dxa" w:w="4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 shares, -$94. Defense name. Iran war tailwind. Give it room.</w:t>
            </w:r>
          </w:p>
        </w:tc>
      </w:tr>
      <w:tr>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-4898</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RKLB</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Flat</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R4</w:t>
            </w:r>
          </w:p>
        </w:tc>
        <w:tc>
          <w:tcPr>
            <w:tcW w:type="dxa" w:w="4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37 shares, -$20. Rocket Lab. Small position. Monitor for catalyst.</w:t>
            </w:r>
          </w:p>
        </w:tc>
      </w:tr>
      <w:tr>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-6685</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UFO</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Flat</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R4</w:t>
            </w:r>
          </w:p>
        </w:tc>
        <w:tc>
          <w:tcPr>
            <w:tcW w:type="dxa" w:w="4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 shares, -$7. Space ETF. Essentially flat. No action needed.</w:t>
            </w:r>
          </w:p>
        </w:tc>
      </w:tr>
      <w:tr>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Both</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JEPI ½</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Red — Kept</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R1</w:t>
            </w:r>
          </w:p>
        </w:tc>
        <w:tc>
          <w:tcPr>
            <w:tcW w:type="dxa" w:w="4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 in 4898, 511 in 6685 remain. Still collecting dividends. Recovers if rates drop Q3-Q4. No stop — this is Ring 1 now.</w:t>
            </w:r>
          </w:p>
        </w:tc>
      </w:tr>
      <w:tr>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Both</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SCHD ½</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Red — Kept</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R1</w:t>
            </w:r>
          </w:p>
        </w:tc>
        <w:tc>
          <w:tcPr>
            <w:tcW w:type="dxa" w:w="4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 in 4898, 874 in 6685 remain. Quality dividend factor. Recovers with rate cuts. No stop — Ring 1.</w:t>
            </w:r>
          </w:p>
        </w:tc>
      </w:tr>
      <w:tr>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-6685</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SGOV</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Fortress</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R1</w:t>
            </w:r>
          </w:p>
        </w:tc>
        <w:tc>
          <w:tcPr>
            <w:tcW w:type="dxa" w:w="4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697 shares existing + new purchase. Earning 3.25%. This is the floor.</w:t>
            </w:r>
          </w:p>
        </w:tc>
      </w:tr>
    </w:tbl>
    <w:p>
      <w:pPr>
        <w:spacing w:before="300"/>
      </w:pPr>
    </w:p>
    <w:p>
      <w:pPr>
        <w:pStyle w:val="Heading1"/>
      </w:pPr>
      <w:r>
        <w:t xml:space="preserve">EXECUTION CHECKLIST</w:t>
      </w:r>
    </w:p>
    <w:p>
      <w:pPr>
        <w:spacing w:after="80"/>
      </w:pPr>
      <w:r>
        <w:rPr>
          <w:rFonts w:ascii="Arial" w:cs="Arial" w:eastAsia="Arial" w:hAnsi="Arial"/>
          <w:sz w:val="22"/>
          <w:szCs w:val="22"/>
        </w:rPr>
        <w:t xml:space="preserve">☐  Phase 1: All 5 breakeven stops confirmed WORKING</w:t>
      </w:r>
    </w:p>
    <w:p>
      <w:pPr>
        <w:spacing w:after="80"/>
      </w:pPr>
      <w:r>
        <w:rPr>
          <w:rFonts w:ascii="Arial" w:cs="Arial" w:eastAsia="Arial" w:hAnsi="Arial"/>
          <w:sz w:val="22"/>
          <w:szCs w:val="22"/>
        </w:rPr>
        <w:t xml:space="preserve">☐  Phase 2: JEPI sell 43 shares in -4898 — FILLED at $______</w:t>
      </w:r>
    </w:p>
    <w:p>
      <w:pPr>
        <w:spacing w:after="80"/>
      </w:pPr>
      <w:r>
        <w:rPr>
          <w:rFonts w:ascii="Arial" w:cs="Arial" w:eastAsia="Arial" w:hAnsi="Arial"/>
          <w:sz w:val="22"/>
          <w:szCs w:val="22"/>
        </w:rPr>
        <w:t xml:space="preserve">☐  Phase 2: JEPI sell 510 shares in -6685 — FILLED at $______</w:t>
      </w:r>
    </w:p>
    <w:p>
      <w:pPr>
        <w:spacing w:after="80"/>
      </w:pPr>
      <w:r>
        <w:rPr>
          <w:rFonts w:ascii="Arial" w:cs="Arial" w:eastAsia="Arial" w:hAnsi="Arial"/>
          <w:sz w:val="22"/>
          <w:szCs w:val="22"/>
        </w:rPr>
        <w:t xml:space="preserve">☐  Phase 2: SCHD sell 80 shares in -4898 — FILLED at $______</w:t>
      </w:r>
    </w:p>
    <w:p>
      <w:pPr>
        <w:spacing w:after="80"/>
      </w:pPr>
      <w:r>
        <w:rPr>
          <w:rFonts w:ascii="Arial" w:cs="Arial" w:eastAsia="Arial" w:hAnsi="Arial"/>
          <w:sz w:val="22"/>
          <w:szCs w:val="22"/>
        </w:rPr>
        <w:t xml:space="preserve">☐  Phase 2: SCHD sell 874 shares in -6685 — FILLED at $______</w:t>
      </w:r>
    </w:p>
    <w:p>
      <w:pPr>
        <w:spacing w:after="80"/>
      </w:pPr>
      <w:r>
        <w:rPr>
          <w:rFonts w:ascii="Arial" w:cs="Arial" w:eastAsia="Arial" w:hAnsi="Arial"/>
          <w:sz w:val="22"/>
          <w:szCs w:val="22"/>
        </w:rPr>
        <w:t xml:space="preserve">☐  Phase 2: Total cash freed: $________ (target: ~$61,435)</w:t>
      </w:r>
    </w:p>
    <w:p>
      <w:pPr>
        <w:spacing w:after="80"/>
      </w:pPr>
      <w:r>
        <w:rPr>
          <w:rFonts w:ascii="Arial" w:cs="Arial" w:eastAsia="Arial" w:hAnsi="Arial"/>
          <w:sz w:val="22"/>
          <w:szCs w:val="22"/>
        </w:rPr>
        <w:t xml:space="preserve">☐  Phase 3: SGOV buy ______ shares in -6685 — FILLED at $______</w:t>
      </w:r>
    </w:p>
    <w:p>
      <w:pPr>
        <w:spacing w:after="80"/>
      </w:pPr>
      <w:r>
        <w:rPr>
          <w:rFonts w:ascii="Arial" w:cs="Arial" w:eastAsia="Arial" w:hAnsi="Arial"/>
          <w:sz w:val="22"/>
          <w:szCs w:val="22"/>
        </w:rPr>
        <w:t xml:space="preserve">☐  Phase 3: XLV buy ______ shares in -4898 — FILLED at $______</w:t>
      </w:r>
    </w:p>
    <w:p>
      <w:pPr>
        <w:spacing w:after="80"/>
      </w:pPr>
      <w:r>
        <w:rPr>
          <w:rFonts w:ascii="Arial" w:cs="Arial" w:eastAsia="Arial" w:hAnsi="Arial"/>
          <w:sz w:val="22"/>
          <w:szCs w:val="22"/>
        </w:rPr>
        <w:t xml:space="preserve">☐  Phase 3: XLE add ______ shares in -4898 — FILLED at $______</w:t>
      </w:r>
    </w:p>
    <w:p>
      <w:pPr>
        <w:spacing w:after="80"/>
      </w:pPr>
      <w:r>
        <w:rPr>
          <w:rFonts w:ascii="Arial" w:cs="Arial" w:eastAsia="Arial" w:hAnsi="Arial"/>
          <w:sz w:val="22"/>
          <w:szCs w:val="22"/>
        </w:rPr>
        <w:t xml:space="preserve">☐  Phase 3: XLV stop set at $______ (8.5% from entry)</w:t>
      </w:r>
    </w:p>
    <w:p>
      <w:pPr>
        <w:spacing w:after="80"/>
      </w:pPr>
      <w:r>
        <w:rPr>
          <w:rFonts w:ascii="Arial" w:cs="Arial" w:eastAsia="Arial" w:hAnsi="Arial"/>
          <w:sz w:val="22"/>
          <w:szCs w:val="22"/>
        </w:rPr>
        <w:t xml:space="preserve">☐  Phase 3: XLE stop updated to $______ (5% from new avg cost)</w:t>
      </w:r>
    </w:p>
    <w:p>
      <w:pPr>
        <w:spacing w:after="80"/>
      </w:pPr>
      <w:r>
        <w:rPr>
          <w:rFonts w:ascii="Arial" w:cs="Arial" w:eastAsia="Arial" w:hAnsi="Arial"/>
          <w:sz w:val="22"/>
          <w:szCs w:val="22"/>
        </w:rPr>
        <w:t xml:space="preserve">☐  Phase 4: Screenshot all positions + orders tab for records</w:t>
      </w:r>
    </w:p>
    <w:p>
      <w:pPr>
        <w:spacing w:before="300"/>
      </w:pPr>
    </w:p>
    <w:p>
      <w:pPr>
        <w:pBdr>
          <w:top w:val="single" w:color="1a1a2e" w:sz="6" w:space="8"/>
        </w:pBdr>
        <w:spacing w:after="100" w:before="200"/>
      </w:pPr>
      <w:r>
        <w:rPr>
          <w:rFonts w:ascii="Arial" w:cs="Arial" w:eastAsia="Arial" w:hAnsi="Arial"/>
          <w:i/>
          <w:iCs/>
          <w:color w:val="1a1a2e"/>
          <w:sz w:val="22"/>
          <w:szCs w:val="22"/>
        </w:rPr>
        <w:t xml:space="preserve">"We quietly build $1 by $1. Cash is king. Singles that stay in the scorebook."</w:t>
      </w:r>
    </w:p>
    <w:p>
      <w:pPr>
        <w:spacing w:after="60"/>
      </w:pPr>
      <w:r>
        <w:rPr>
          <w:rFonts w:ascii="Arial" w:cs="Arial" w:eastAsia="Arial" w:hAnsi="Arial"/>
          <w:color w:val="999999"/>
          <w:sz w:val="18"/>
          <w:szCs w:val="18"/>
        </w:rPr>
        <w:t xml:space="preserve">MICHA — CIO, Uriel Covenant | IRONCLAD v2.1 | March 12,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2026-03-12T12:37:36.265Z</dcterms:created>
  <dcterms:modified xsi:type="dcterms:W3CDTF">2026-03-12T12:37:36.266Z</dcterms:modified>
</cp:coreProperties>
</file>

<file path=docProps/custom.xml><?xml version="1.0" encoding="utf-8"?>
<Properties xmlns="http://schemas.openxmlformats.org/officeDocument/2006/custom-properties" xmlns:vt="http://schemas.openxmlformats.org/officeDocument/2006/docPropsVTypes"/>
</file>