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Title"/>
        <w:spacing w:before="0" w:after="40"/>
        <w:jc w:val="center"/>
      </w:pPr>
      <w:r>
        <w:rPr>
          <w:rFonts w:ascii="Arial" w:hAnsi="Arial" w:cs="Arial"/>
          <w:b/>
          <w:bCs/>
          <w:color w:val="000000"/>
          <w:sz w:val="28"/>
          <w:szCs w:val="28"/>
        </w:rPr>
        <w:t xml:space="preserve">Business Summary Report: Predictive Insights for Collections Strategy</w:t>
      </w:r>
    </w:p>
    <w:p>
      <w:pPr>
        <w:spacing w:before="0" w:after="60" w:line="252" w:lineRule="auto"/>
        <w:jc w:val="center"/>
      </w:pPr>
      <w:r>
        <w:rPr>
          <w:rFonts w:ascii="Arial" w:hAnsi="Arial" w:cs="Arial"/>
          <w:i/>
          <w:iCs/>
          <w:color w:val="000000"/>
          <w:sz w:val="17"/>
          <w:szCs w:val="17"/>
        </w:rPr>
        <w:t xml:space="preserve">Prepared for: Head of Collections, Geldium  |  Data: 500 customers, 80 delinquent (16.0%)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1. Summary of Predictive Insights</w:t>
      </w:r>
    </w:p>
    <w:p>
      <w:pPr>
        <w:spacing w:before="0" w:after="6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Model result (Task 2):</w:t>
      </w:r>
      <w:r>
        <w:rPr>
          <w:rFonts w:ascii="Arial" w:hAnsi="Arial" w:cs="Arial"/>
          <w:color w:val="000000"/>
          <w:sz w:val="20"/>
          <w:szCs w:val="20"/>
        </w:rPr>
        <w:t xml:space="preserve"> I built a logistic regression model (with a Random Forest for comparison) using each customer’s profile, card and six-month payment history. In cross-validation both scored an AUC of about 0.43–0.46, no better than random guessing (0.50). The model cannot yet reliably predict who will become delinquent, so the findings below show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where delinquency is more common</w:t>
      </w:r>
      <w:r>
        <w:rPr>
          <w:rFonts w:ascii="Arial" w:hAnsi="Arial" w:cs="Arial"/>
          <w:color w:val="000000"/>
          <w:sz w:val="20"/>
          <w:szCs w:val="20"/>
        </w:rPr>
        <w:t xml:space="preserve">, not proven causes.</w:t>
      </w:r>
    </w:p>
    <w:p>
      <w:pPr>
        <w:keepNext/>
        <w:spacing w:before="0" w:after="3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Top 3 Risk Factors</w:t>
      </w:r>
      <w:r>
        <w:rPr>
          <w:rFonts w:ascii="Arial" w:hAnsi="Arial" w:cs="Arial"/>
          <w:color w:val="000000"/>
          <w:sz w:val="20"/>
          <w:szCs w:val="20"/>
        </w:rPr>
        <w:t xml:space="preserve"> (delinquency rate vs. 16.0% overall):</w:t>
      </w:r>
    </w:p>
    <w:p>
      <w:pPr>
        <w:numPr>
          <w:ilvl w:val="0"/>
          <w:numId w:val="20"/>
        </w:numPr>
        <w:spacing w:before="0" w:after="3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Age 46–60:</w:t>
      </w:r>
      <w:r>
        <w:rPr>
          <w:rFonts w:ascii="Arial" w:hAnsi="Arial" w:cs="Arial"/>
          <w:color w:val="000000"/>
          <w:sz w:val="20"/>
          <w:szCs w:val="20"/>
        </w:rPr>
        <w:t xml:space="preserve"> 21.7% delinquent (30 of 138 customers), against 12.3% for ages 30–45.</w:t>
      </w:r>
    </w:p>
    <w:p>
      <w:pPr>
        <w:numPr>
          <w:ilvl w:val="0"/>
          <w:numId w:val="20"/>
        </w:numPr>
        <w:spacing w:before="0" w:after="3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Business credit card:</w:t>
      </w:r>
      <w:r>
        <w:rPr>
          <w:rFonts w:ascii="Arial" w:hAnsi="Arial" w:cs="Arial"/>
          <w:color w:val="000000"/>
          <w:sz w:val="20"/>
          <w:szCs w:val="20"/>
        </w:rPr>
        <w:t xml:space="preserve"> 21.3% (23 of 108), the highest of five card types; Platinum is lowest at 11.8%.</w:t>
      </w:r>
    </w:p>
    <w:p>
      <w:pPr>
        <w:numPr>
          <w:ilvl w:val="0"/>
          <w:numId w:val="20"/>
        </w:numPr>
        <w:spacing w:before="0" w:after="6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Unemployed status:</w:t>
      </w:r>
      <w:r>
        <w:rPr>
          <w:rFonts w:ascii="Arial" w:hAnsi="Arial" w:cs="Arial"/>
          <w:color w:val="000000"/>
          <w:sz w:val="20"/>
          <w:szCs w:val="20"/>
        </w:rPr>
        <w:t xml:space="preserve"> 19.4% (18 of 93), against 11.5% for retired customers.</w:t>
      </w:r>
    </w:p>
    <w:p>
      <w:pPr>
        <w:spacing w:before="0" w:after="8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Combined effect:</w:t>
      </w:r>
      <w:r>
        <w:rPr>
          <w:rFonts w:ascii="Arial" w:hAnsi="Arial" w:cs="Arial"/>
          <w:color w:val="000000"/>
          <w:sz w:val="20"/>
          <w:szCs w:val="20"/>
        </w:rPr>
        <w:t xml:space="preserve"> customers in two or more of these groups are delinquent 26.8% of the time (19 of 71), versus 12.3% for the 236 customers in none.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Weak predictors:</w:t>
      </w:r>
      <w:r>
        <w:rPr>
          <w:rFonts w:ascii="Arial" w:hAnsi="Arial" w:cs="Arial"/>
          <w:color w:val="000000"/>
          <w:sz w:val="20"/>
          <w:szCs w:val="20"/>
        </w:rPr>
        <w:t xml:space="preserve"> Credit_Score, Cap-Credit-Uti, Debt_to_Income_Ratio, Missed_Payments and the Month_1–6 payment statuses show almost no link to delinquency (correlations all below 0.05; the highest-utilization quarter is 16.8% vs. 13.6% for the lowest).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Caution:</w:t>
      </w:r>
      <w:r>
        <w:rPr>
          <w:rFonts w:ascii="Arial" w:hAnsi="Arial" w:cs="Arial"/>
          <w:color w:val="000000"/>
          <w:sz w:val="20"/>
          <w:szCs w:val="20"/>
        </w:rPr>
        <w:t xml:space="preserve"> each segment has about 100 customers (margin of error roughly ±7 points), and only the age gap is borderline significant (p ≈ 0.04, and the age bands were chosen after viewing the data). Treat these as leads to test. Also, Missed_Payments does not match the monthly statuses and needs a data check.</w:t>
      </w:r>
    </w:p>
    <w:tbl>
      <w:tblPr>
        <w:tblW w:w="9640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CellMar>
          <w:top w:w="30" w:type="dxa"/>
          <w:left w:w="80" w:type="dxa"/>
          <w:bottom w:w="30" w:type="dxa"/>
          <w:right w:w="80" w:type="dxa"/>
        </w:tblCellMar>
      </w:tblPr>
      <w:tblGrid>
        <w:gridCol w:w="2700"/>
        <w:gridCol w:w="1700"/>
        <w:gridCol w:w="2100"/>
        <w:gridCol w:w="3140"/>
      </w:tblGrid>
      <w:tr>
        <w:trPr>
          <w:cantSplit/>
          <w:tblHeader/>
        </w:trPr>
        <w:tc>
          <w:tcPr>
            <w:tcW w:w="27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Key Insight</w:t>
            </w:r>
          </w:p>
        </w:tc>
        <w:tc>
          <w:tcPr>
            <w:tcW w:w="17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Customer Segment</w:t>
            </w:r>
          </w:p>
        </w:tc>
        <w:tc>
          <w:tcPr>
            <w:tcW w:w="210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Influencing Variables</w:t>
            </w:r>
          </w:p>
        </w:tc>
        <w:tc>
          <w:tcPr>
            <w:tcW w:w="3140" w:type="dxa"/>
            <w:shd w:val="clear" w:color="auto" w:fill="D9D9D9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b/>
                <w:bCs/>
                <w:color w:val="000000"/>
                <w:sz w:val="16"/>
                <w:szCs w:val="16"/>
              </w:rPr>
              <w:t xml:space="preserve">Potential Impact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Business cards have the highest card-type rate (21.3%)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Business credit card holders</w:t>
            </w:r>
          </w:p>
        </w:tc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Credit_Card_Type</w:t>
            </w:r>
          </w:p>
        </w:tc>
        <w:tc>
          <w:tcPr>
            <w:tcW w:w="314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Test early reminders and payment-plan offers (Section 2).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Ages 46–60 are delinquent more often (21.7%)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Customers aged 46–60</w:t>
            </w:r>
          </w:p>
        </w:tc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Age</w:t>
            </w:r>
          </w:p>
        </w:tc>
        <w:tc>
          <w:tcPr>
            <w:tcW w:w="314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Monitor only. Do not use age to limit credit or contact (see Section 3).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Unemployed customers have a higher rate (19.4%)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Unemployed customers</w:t>
            </w:r>
          </w:p>
        </w:tc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Employment_Status</w:t>
            </w:r>
          </w:p>
        </w:tc>
        <w:tc>
          <w:tcPr>
            <w:tcW w:w="314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Offer flexible-plan and hardship options at the first late payment.</w:t>
            </w:r>
          </w:p>
        </w:tc>
      </w:tr>
      <w:tr>
        <w:trPr>
          <w:cantSplit/>
        </w:trPr>
        <w:tc>
          <w:tcPr>
            <w:tcW w:w="27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Overlap raises risk (26.8% vs. 12.3%)</w:t>
            </w:r>
          </w:p>
        </w:tc>
        <w:tc>
          <w:tcPr>
            <w:tcW w:w="17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Customers in 2+ risk groups</w:t>
            </w:r>
          </w:p>
        </w:tc>
        <w:tc>
          <w:tcPr>
            <w:tcW w:w="210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Card type, Age, Employment</w:t>
            </w:r>
          </w:p>
        </w:tc>
        <w:tc>
          <w:tcPr>
            <w:tcW w:w="3140" w:type="dxa"/>
          </w:tcPr>
          <w:p>
            <w:pPr>
              <w:spacing w:after="0" w:line="240" w:lineRule="auto"/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 xml:space="preserve">Give them the earliest friendly contact.</w:t>
            </w:r>
          </w:p>
        </w:tc>
      </w:tr>
    </w:tbl>
    <w:p>
      <w:pPr>
        <w:spacing w:before="0" w:after="0" w:line="120" w:lineRule="exact"/>
      </w:pP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2. Recommendation Framework</w:t>
      </w:r>
    </w:p>
    <w:p>
      <w:pPr>
        <w:spacing w:before="0" w:after="4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Restated Insight:</w:t>
      </w:r>
      <w:r>
        <w:rPr>
          <w:rFonts w:ascii="Arial" w:hAnsi="Arial" w:cs="Arial"/>
          <w:color w:val="000000"/>
          <w:sz w:val="20"/>
          <w:szCs w:val="20"/>
        </w:rPr>
        <w:t xml:space="preserve"> Business card holders fall behind at 21.3%, against 16.0% overall. Card type is a product feature, so it can guide action without relying on personal characteristics.</w:t>
      </w:r>
    </w:p>
    <w:p>
      <w:pPr>
        <w:spacing w:before="0" w:after="4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Proposed Recommendation:</w:t>
      </w:r>
      <w:r>
        <w:rPr>
          <w:rFonts w:ascii="Arial" w:hAnsi="Arial" w:cs="Arial"/>
          <w:color w:val="000000"/>
          <w:sz w:val="20"/>
          <w:szCs w:val="20"/>
        </w:rPr>
        <w:t xml:space="preserve"> Run a controlled pilot of early-contact support for Business card accounts: a payment reminder 5 days before the due date, plus an offer of a flexible payment plan after a first late payment. Half of the accounts are randomly held back as a comparison group.</w:t>
      </w:r>
    </w:p>
    <w:p>
      <w:pPr>
        <w:spacing w:before="0" w:after="3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Specific:</w:t>
      </w:r>
      <w:r>
        <w:rPr>
          <w:rFonts w:ascii="Arial" w:hAnsi="Arial" w:cs="Arial"/>
          <w:color w:val="000000"/>
          <w:sz w:val="20"/>
          <w:szCs w:val="20"/>
        </w:rPr>
        <w:t xml:space="preserve"> Contact all Business card accounts by SMS or email (108 in this dataset; use the full live portfolio for the pilot). Treated and comparison groups are split 50/50 at random.</w:t>
      </w:r>
    </w:p>
    <w:p>
      <w:pPr>
        <w:spacing w:before="0" w:after="3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Measurable:</w:t>
      </w:r>
      <w:r>
        <w:rPr>
          <w:rFonts w:ascii="Arial" w:hAnsi="Arial" w:cs="Arial"/>
          <w:color w:val="000000"/>
          <w:sz w:val="20"/>
          <w:szCs w:val="20"/>
        </w:rPr>
        <w:t xml:space="preserve"> Reduce the delinquency rate of contacted accounts from about 21% to 16% or lower, and show a lower rate than the comparison group. Also track on-time payment rate, plan take-up and cost per contact.</w:t>
      </w:r>
    </w:p>
    <w:p>
      <w:pPr>
        <w:spacing w:before="0" w:after="3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Actionable:</w:t>
      </w:r>
      <w:r>
        <w:rPr>
          <w:rFonts w:ascii="Arial" w:hAnsi="Arial" w:cs="Arial"/>
          <w:color w:val="000000"/>
          <w:sz w:val="20"/>
          <w:szCs w:val="20"/>
        </w:rPr>
        <w:t xml:space="preserve"> Uses existing reminder tools and Collections staff; one analyst produces a monthly results report. No new system is needed.</w:t>
      </w:r>
    </w:p>
    <w:p>
      <w:pPr>
        <w:spacing w:before="0" w:after="3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Relevant:</w:t>
      </w:r>
      <w:r>
        <w:rPr>
          <w:rFonts w:ascii="Arial" w:hAnsi="Arial" w:cs="Arial"/>
          <w:color w:val="000000"/>
          <w:sz w:val="20"/>
          <w:szCs w:val="20"/>
        </w:rPr>
        <w:t xml:space="preserve"> Targets the card type with the highest delinquency and favours early, supportive help over penalties, which supports Geldium’s aim of lowering delinquency while keeping customer trust.</w:t>
      </w:r>
    </w:p>
    <w:p>
      <w:pPr>
        <w:spacing w:before="0" w:after="4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Time-bound:</w:t>
      </w:r>
      <w:r>
        <w:rPr>
          <w:rFonts w:ascii="Arial" w:hAnsi="Arial" w:cs="Arial"/>
          <w:color w:val="000000"/>
          <w:sz w:val="20"/>
          <w:szCs w:val="20"/>
        </w:rPr>
        <w:t xml:space="preserve"> Launch within 30 days, run for 3 months, and review at month 4 to expand, adjust or stop.</w:t>
      </w:r>
    </w:p>
    <w:p>
      <w:pPr>
        <w:spacing w:before="0" w:after="6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Justification and Business Rationale:</w:t>
      </w:r>
      <w:r>
        <w:rPr>
          <w:rFonts w:ascii="Arial" w:hAnsi="Arial" w:cs="Arial"/>
          <w:color w:val="000000"/>
          <w:sz w:val="20"/>
          <w:szCs w:val="20"/>
        </w:rPr>
        <w:t xml:space="preserve"> Early, low-cost contact helps customers pay before they fall behind, and the comparison group shows whether it works. That matters because the model’s signal is weak.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For stakeholders:</w:t>
      </w:r>
      <w:r>
        <w:rPr>
          <w:rFonts w:ascii="Arial" w:hAnsi="Arial" w:cs="Arial"/>
          <w:color w:val="000000"/>
          <w:sz w:val="20"/>
          <w:szCs w:val="20"/>
        </w:rPr>
        <w:t xml:space="preserve"> “Business card holders fall behind more often, so we will test a friendly early reminder and flexible plan, and measure the results against a comparison group before rolling it out.”</w:t>
      </w:r>
    </w:p>
    <w:p>
      <w:pPr>
        <w:pStyle w:val="Heading1"/>
        <w:keepNext/>
        <w:spacing w:before="160" w:after="80"/>
      </w:pPr>
      <w:r>
        <w:rPr>
          <w:rFonts w:ascii="Arial" w:hAnsi="Arial" w:cs="Arial"/>
          <w:b/>
          <w:bCs/>
          <w:color w:val="000000"/>
          <w:sz w:val="22"/>
          <w:szCs w:val="22"/>
        </w:rPr>
        <w:t xml:space="preserve">3. Ethical and Responsible AI Considerations</w:t>
      </w:r>
    </w:p>
    <w:p>
      <w:pPr>
        <w:keepNext/>
        <w:spacing w:before="0" w:after="3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Two fairness risks and how to mitigate them:</w:t>
      </w:r>
    </w:p>
    <w:p>
      <w:pPr>
        <w:numPr>
          <w:ilvl w:val="0"/>
          <w:numId w:val="20"/>
        </w:numPr>
        <w:spacing w:before="0" w:after="3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Bias against groups through proxy variables.</w:t>
      </w:r>
      <w:r>
        <w:rPr>
          <w:rFonts w:ascii="Arial" w:hAnsi="Arial" w:cs="Arial"/>
          <w:color w:val="000000"/>
          <w:sz w:val="20"/>
          <w:szCs w:val="20"/>
        </w:rPr>
        <w:t xml:space="preserve"> Age, Location and Employment_Status all show different rates (e.g., ages 46–60 at 21.7% vs. 12.3% for 30–45; Los Angeles 19.6% vs. New York 12.0%). Acting on them could treat age groups or neighbourhoods unfairly, and location can stand in for protected traits.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Mitigation:</w:t>
      </w:r>
      <w:r>
        <w:rPr>
          <w:rFonts w:ascii="Arial" w:hAnsi="Arial" w:cs="Arial"/>
          <w:color w:val="000000"/>
          <w:sz w:val="20"/>
          <w:szCs w:val="20"/>
        </w:rPr>
        <w:t xml:space="preserve"> keep Age and Location out of targeting decisions, act on product type and payment behaviour, and report outcomes by group every quarter.</w:t>
      </w:r>
    </w:p>
    <w:p>
      <w:pPr>
        <w:numPr>
          <w:ilvl w:val="0"/>
          <w:numId w:val="20"/>
        </w:numPr>
        <w:spacing w:before="0" w:after="6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Acting on weak predictions.</w:t>
      </w:r>
      <w:r>
        <w:rPr>
          <w:rFonts w:ascii="Arial" w:hAnsi="Arial" w:cs="Arial"/>
          <w:color w:val="000000"/>
          <w:sz w:val="20"/>
          <w:szCs w:val="20"/>
        </w:rPr>
        <w:t xml:space="preserve"> With 500 customers and a model close to random, some customers will be flagged wrongly and could face needless contact or restrictions. </w:t>
      </w: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Mitigation:</w:t>
      </w:r>
      <w:r>
        <w:rPr>
          <w:rFonts w:ascii="Arial" w:hAnsi="Arial" w:cs="Arial"/>
          <w:color w:val="000000"/>
          <w:sz w:val="20"/>
          <w:szCs w:val="20"/>
        </w:rPr>
        <w:t xml:space="preserve"> use scores only to trigger supportive help (reminders, payment plans), require human review before any credit-limit or account action, and re-test on a larger dataset before scaling.</w:t>
      </w:r>
    </w:p>
    <w:p>
      <w:pPr>
        <w:spacing w:before="0" w:after="5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Explaining predictions to non-technical stakeholders:</w:t>
      </w:r>
      <w:r>
        <w:rPr>
          <w:rFonts w:ascii="Arial" w:hAnsi="Arial" w:cs="Arial"/>
          <w:color w:val="000000"/>
          <w:sz w:val="20"/>
          <w:szCs w:val="20"/>
        </w:rPr>
        <w:t xml:space="preserve"> The model gives each customer a risk score, like a weather forecast: a 30% chance of rain does not mean it will rain. Logistic regression lets us state the main reasons behind a flag (e.g., “Business card and recent late payments”). A flag is a prompt for a friendly check-in, not a decision about the customer.</w:t>
      </w:r>
    </w:p>
    <w:p>
      <w:pPr>
        <w:spacing w:before="0" w:after="0" w:line="252" w:lineRule="auto"/>
      </w:pPr>
      <w:r>
        <w:rPr>
          <w:rFonts w:ascii="Arial" w:hAnsi="Arial" w:cs="Arial"/>
          <w:b/>
          <w:bCs/>
          <w:color w:val="000000"/>
          <w:sz w:val="20"/>
          <w:szCs w:val="20"/>
        </w:rPr>
        <w:t xml:space="preserve">Responsible and transparent use:</w:t>
      </w:r>
      <w:r>
        <w:rPr>
          <w:rFonts w:ascii="Arial" w:hAnsi="Arial" w:cs="Arial"/>
          <w:color w:val="000000"/>
          <w:sz w:val="20"/>
          <w:szCs w:val="20"/>
        </w:rPr>
        <w:t xml:space="preserve"> The recommendation offers help before penalties. Accountability sits with the Head of Collections, who would review results and group-level outcomes each quarter. Customer data must be stored securely and used only for agreed purposes, and the Missed_Payments data issue should be fixed first. This analysis and draft were prepared with help from Claude (an AI assistant made by Anthropic).</w:t>
      </w:r>
    </w:p>
    <w:sectPr>
      <w:pgSz w:w="12240" w:h="15840"/>
      <w:pgMar w:top="1000" w:right="1300" w:bottom="900" w:left="1300" w:header="500" w:footer="5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500" w:hanging="260"/>
      </w:pPr>
      <w:rPr>
        <w:rFonts w:ascii="Arial" w:hAnsi="Arial" w:cs="Arial"/>
      </w:rPr>
    </w:lvl>
  </w:abstractNum>
  <w:num w:numId="1" w16cid:durableId="1399674117">
    <w:abstractNumId w:val="8"/>
  </w:num>
  <w:num w:numId="2" w16cid:durableId="1801531605">
    <w:abstractNumId w:val="6"/>
  </w:num>
  <w:num w:numId="3" w16cid:durableId="486094038">
    <w:abstractNumId w:val="5"/>
  </w:num>
  <w:num w:numId="4" w16cid:durableId="255750852">
    <w:abstractNumId w:val="4"/>
  </w:num>
  <w:num w:numId="5" w16cid:durableId="1951626911">
    <w:abstractNumId w:val="7"/>
  </w:num>
  <w:num w:numId="6" w16cid:durableId="1111168920">
    <w:abstractNumId w:val="3"/>
  </w:num>
  <w:num w:numId="7" w16cid:durableId="124276201">
    <w:abstractNumId w:val="2"/>
  </w:num>
  <w:num w:numId="8" w16cid:durableId="1778476411">
    <w:abstractNumId w:val="1"/>
  </w:num>
  <w:num w:numId="9" w16cid:durableId="1111129504">
    <w:abstractNumId w:val="0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D72C2"/>
    <w:rsid w:val="008237CA"/>
    <w:rsid w:val="00A537D1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D4DB5BE"/>
  <w14:defaultImageDpi w14:val="300"/>
  <w15:docId w15:val="{578686E3-F8AA-B641-B7B7-8F5C3F9AFA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37D1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A5A5A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DDDDD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DDDDD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000000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DDDDD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DDDDD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6E6E6E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DDDDD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DDDDD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DDDDDD" w:themeColor="accent1"/>
      </w:pBdr>
      <w:spacing w:before="200" w:after="280"/>
      <w:ind w:left="936" w:right="936"/>
    </w:pPr>
    <w:rPr>
      <w:b/>
      <w:bCs/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DDDDD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DDDDD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B2B2B2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B2B2B2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A5A5A5" w:themeColor="accent1" w:themeShade="BF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DDDDDD" w:themeColor="accent1"/>
          <w:left w:val="nil"/>
          <w:bottom w:val="single" w:sz="8" w:space="0" w:color="DDDDD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858585" w:themeColor="accent2" w:themeShade="BF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2B2B2" w:themeColor="accent2"/>
          <w:left w:val="nil"/>
          <w:bottom w:val="single" w:sz="8" w:space="0" w:color="B2B2B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07070" w:themeColor="accent3" w:themeShade="BF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69696" w:themeColor="accent3"/>
          <w:left w:val="nil"/>
          <w:bottom w:val="single" w:sz="8" w:space="0" w:color="969696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5F5F" w:themeColor="accent4" w:themeShade="BF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8080" w:themeColor="accent4"/>
          <w:left w:val="nil"/>
          <w:bottom w:val="single" w:sz="8" w:space="0" w:color="808080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474747" w:themeColor="accent5" w:themeShade="BF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5F5F5F" w:themeColor="accent5"/>
          <w:left w:val="nil"/>
          <w:bottom w:val="single" w:sz="8" w:space="0" w:color="5F5F5F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393939" w:themeColor="accent6" w:themeShade="BF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D4D4D" w:themeColor="accent6"/>
          <w:left w:val="nil"/>
          <w:bottom w:val="single" w:sz="8" w:space="0" w:color="4D4D4D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1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H w:val="nil"/>
          <w:insideV w:val="single" w:sz="8" w:space="0" w:color="DDDDD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</w:tcPr>
    </w:tblStylePr>
    <w:tblStylePr w:type="band1Vert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  <w:shd w:val="clear" w:color="auto" w:fill="F6F6F6" w:themeFill="accent1" w:themeFillTint="3F"/>
      </w:tcPr>
    </w:tblStylePr>
    <w:tblStylePr w:type="band2Horz">
      <w:tblPr/>
      <w:tcPr>
        <w:tcBorders>
          <w:top w:val="single" w:sz="8" w:space="0" w:color="DDDDDD" w:themeColor="accent1"/>
          <w:left w:val="single" w:sz="8" w:space="0" w:color="DDDDDD" w:themeColor="accent1"/>
          <w:bottom w:val="single" w:sz="8" w:space="0" w:color="DDDDDD" w:themeColor="accent1"/>
          <w:right w:val="single" w:sz="8" w:space="0" w:color="DDDDDD" w:themeColor="accent1"/>
          <w:insideV w:val="single" w:sz="8" w:space="0" w:color="DDDDD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1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H w:val="nil"/>
          <w:insideV w:val="single" w:sz="8" w:space="0" w:color="B2B2B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</w:tcPr>
    </w:tblStylePr>
    <w:tblStylePr w:type="band1Vert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  <w:shd w:val="clear" w:color="auto" w:fill="EBEBEB" w:themeFill="accent2" w:themeFillTint="3F"/>
      </w:tcPr>
    </w:tblStylePr>
    <w:tblStylePr w:type="band2Horz">
      <w:tblPr/>
      <w:tcPr>
        <w:tcBorders>
          <w:top w:val="single" w:sz="8" w:space="0" w:color="B2B2B2" w:themeColor="accent2"/>
          <w:left w:val="single" w:sz="8" w:space="0" w:color="B2B2B2" w:themeColor="accent2"/>
          <w:bottom w:val="single" w:sz="8" w:space="0" w:color="B2B2B2" w:themeColor="accent2"/>
          <w:right w:val="single" w:sz="8" w:space="0" w:color="B2B2B2" w:themeColor="accent2"/>
          <w:insideV w:val="single" w:sz="8" w:space="0" w:color="B2B2B2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1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H w:val="nil"/>
          <w:insideV w:val="single" w:sz="8" w:space="0" w:color="969696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</w:tcPr>
    </w:tblStylePr>
    <w:tblStylePr w:type="band1Vert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  <w:shd w:val="clear" w:color="auto" w:fill="E5E5E5" w:themeFill="accent3" w:themeFillTint="3F"/>
      </w:tcPr>
    </w:tblStylePr>
    <w:tblStylePr w:type="band2Horz">
      <w:tblPr/>
      <w:tcPr>
        <w:tcBorders>
          <w:top w:val="single" w:sz="8" w:space="0" w:color="969696" w:themeColor="accent3"/>
          <w:left w:val="single" w:sz="8" w:space="0" w:color="969696" w:themeColor="accent3"/>
          <w:bottom w:val="single" w:sz="8" w:space="0" w:color="969696" w:themeColor="accent3"/>
          <w:right w:val="single" w:sz="8" w:space="0" w:color="969696" w:themeColor="accent3"/>
          <w:insideV w:val="single" w:sz="8" w:space="0" w:color="969696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1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H w:val="nil"/>
          <w:insideV w:val="single" w:sz="8" w:space="0" w:color="808080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</w:tcPr>
    </w:tblStylePr>
    <w:tblStylePr w:type="band1Vert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  <w:shd w:val="clear" w:color="auto" w:fill="DFDFDF" w:themeFill="accent4" w:themeFillTint="3F"/>
      </w:tcPr>
    </w:tblStylePr>
    <w:tblStylePr w:type="band2Horz">
      <w:tblPr/>
      <w:tcPr>
        <w:tcBorders>
          <w:top w:val="single" w:sz="8" w:space="0" w:color="808080" w:themeColor="accent4"/>
          <w:left w:val="single" w:sz="8" w:space="0" w:color="808080" w:themeColor="accent4"/>
          <w:bottom w:val="single" w:sz="8" w:space="0" w:color="808080" w:themeColor="accent4"/>
          <w:right w:val="single" w:sz="8" w:space="0" w:color="808080" w:themeColor="accent4"/>
          <w:insideV w:val="single" w:sz="8" w:space="0" w:color="808080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1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H w:val="nil"/>
          <w:insideV w:val="single" w:sz="8" w:space="0" w:color="5F5F5F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</w:tcPr>
    </w:tblStylePr>
    <w:tblStylePr w:type="band1Vert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  <w:shd w:val="clear" w:color="auto" w:fill="D7D7D7" w:themeFill="accent5" w:themeFillTint="3F"/>
      </w:tcPr>
    </w:tblStylePr>
    <w:tblStylePr w:type="band2Horz">
      <w:tblPr/>
      <w:tcPr>
        <w:tcBorders>
          <w:top w:val="single" w:sz="8" w:space="0" w:color="5F5F5F" w:themeColor="accent5"/>
          <w:left w:val="single" w:sz="8" w:space="0" w:color="5F5F5F" w:themeColor="accent5"/>
          <w:bottom w:val="single" w:sz="8" w:space="0" w:color="5F5F5F" w:themeColor="accent5"/>
          <w:right w:val="single" w:sz="8" w:space="0" w:color="5F5F5F" w:themeColor="accent5"/>
          <w:insideV w:val="single" w:sz="8" w:space="0" w:color="5F5F5F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1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H w:val="nil"/>
          <w:insideV w:val="single" w:sz="8" w:space="0" w:color="4D4D4D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</w:tcPr>
    </w:tblStylePr>
    <w:tblStylePr w:type="band1Vert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  <w:shd w:val="clear" w:color="auto" w:fill="D3D3D3" w:themeFill="accent6" w:themeFillTint="3F"/>
      </w:tcPr>
    </w:tblStylePr>
    <w:tblStylePr w:type="band2Horz">
      <w:tblPr/>
      <w:tcPr>
        <w:tcBorders>
          <w:top w:val="single" w:sz="8" w:space="0" w:color="4D4D4D" w:themeColor="accent6"/>
          <w:left w:val="single" w:sz="8" w:space="0" w:color="4D4D4D" w:themeColor="accent6"/>
          <w:bottom w:val="single" w:sz="8" w:space="0" w:color="4D4D4D" w:themeColor="accent6"/>
          <w:right w:val="single" w:sz="8" w:space="0" w:color="4D4D4D" w:themeColor="accent6"/>
          <w:insideV w:val="single" w:sz="8" w:space="0" w:color="4D4D4D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5E5E5" w:themeColor="accent1" w:themeTint="BF"/>
          <w:left w:val="single" w:sz="8" w:space="0" w:color="E5E5E5" w:themeColor="accent1" w:themeTint="BF"/>
          <w:bottom w:val="single" w:sz="8" w:space="0" w:color="E5E5E5" w:themeColor="accent1" w:themeTint="BF"/>
          <w:right w:val="single" w:sz="8" w:space="0" w:color="E5E5E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6F6F6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5C5C5" w:themeColor="accent2" w:themeTint="BF"/>
          <w:left w:val="single" w:sz="8" w:space="0" w:color="C5C5C5" w:themeColor="accent2" w:themeTint="BF"/>
          <w:bottom w:val="single" w:sz="8" w:space="0" w:color="C5C5C5" w:themeColor="accent2" w:themeTint="BF"/>
          <w:right w:val="single" w:sz="8" w:space="0" w:color="C5C5C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EBEB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0B0B0" w:themeColor="accent3" w:themeTint="BF"/>
          <w:left w:val="single" w:sz="8" w:space="0" w:color="B0B0B0" w:themeColor="accent3" w:themeTint="BF"/>
          <w:bottom w:val="single" w:sz="8" w:space="0" w:color="B0B0B0" w:themeColor="accent3" w:themeTint="BF"/>
          <w:right w:val="single" w:sz="8" w:space="0" w:color="B0B0B0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5E5E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9F9F" w:themeColor="accent4" w:themeTint="BF"/>
          <w:left w:val="single" w:sz="8" w:space="0" w:color="9F9F9F" w:themeColor="accent4" w:themeTint="BF"/>
          <w:bottom w:val="single" w:sz="8" w:space="0" w:color="9F9F9F" w:themeColor="accent4" w:themeTint="BF"/>
          <w:right w:val="single" w:sz="8" w:space="0" w:color="9F9F9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FDF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78787" w:themeColor="accent5" w:themeTint="BF"/>
          <w:left w:val="single" w:sz="8" w:space="0" w:color="878787" w:themeColor="accent5" w:themeTint="BF"/>
          <w:bottom w:val="single" w:sz="8" w:space="0" w:color="878787" w:themeColor="accent5" w:themeTint="BF"/>
          <w:right w:val="single" w:sz="8" w:space="0" w:color="878787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7D7D7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97979" w:themeColor="accent6" w:themeTint="BF"/>
          <w:left w:val="single" w:sz="8" w:space="0" w:color="797979" w:themeColor="accent6" w:themeTint="BF"/>
          <w:bottom w:val="single" w:sz="8" w:space="0" w:color="797979" w:themeColor="accent6" w:themeTint="BF"/>
          <w:right w:val="single" w:sz="8" w:space="0" w:color="797979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3D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bottom w:val="single" w:sz="8" w:space="0" w:color="DDDDD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DDDDDD" w:themeColor="accent1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DDDDDD" w:themeColor="accent1"/>
          <w:bottom w:val="single" w:sz="8" w:space="0" w:color="DDDDDD" w:themeColor="accent1"/>
        </w:tcBorders>
      </w:tcPr>
    </w:tblStylePr>
    <w:tblStylePr w:type="band1Vert">
      <w:tblPr/>
      <w:tcPr>
        <w:shd w:val="clear" w:color="auto" w:fill="F6F6F6" w:themeFill="accent1" w:themeFillTint="3F"/>
      </w:tcPr>
    </w:tblStylePr>
    <w:tblStylePr w:type="band1Horz">
      <w:tblPr/>
      <w:tcPr>
        <w:shd w:val="clear" w:color="auto" w:fill="F6F6F6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bottom w:val="single" w:sz="8" w:space="0" w:color="B2B2B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2B2B2" w:themeColor="accent2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2B2B2" w:themeColor="accent2"/>
          <w:bottom w:val="single" w:sz="8" w:space="0" w:color="B2B2B2" w:themeColor="accent2"/>
        </w:tcBorders>
      </w:tcPr>
    </w:tblStylePr>
    <w:tblStylePr w:type="band1Vert">
      <w:tblPr/>
      <w:tcPr>
        <w:shd w:val="clear" w:color="auto" w:fill="EBEBEB" w:themeFill="accent2" w:themeFillTint="3F"/>
      </w:tcPr>
    </w:tblStylePr>
    <w:tblStylePr w:type="band1Horz">
      <w:tblPr/>
      <w:tcPr>
        <w:shd w:val="clear" w:color="auto" w:fill="EBEBEB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bottom w:val="single" w:sz="8" w:space="0" w:color="969696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69696" w:themeColor="accent3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69696" w:themeColor="accent3"/>
          <w:bottom w:val="single" w:sz="8" w:space="0" w:color="969696" w:themeColor="accent3"/>
        </w:tcBorders>
      </w:tcPr>
    </w:tblStylePr>
    <w:tblStylePr w:type="band1Vert">
      <w:tblPr/>
      <w:tcPr>
        <w:shd w:val="clear" w:color="auto" w:fill="E5E5E5" w:themeFill="accent3" w:themeFillTint="3F"/>
      </w:tcPr>
    </w:tblStylePr>
    <w:tblStylePr w:type="band1Horz">
      <w:tblPr/>
      <w:tcPr>
        <w:shd w:val="clear" w:color="auto" w:fill="E5E5E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bottom w:val="single" w:sz="8" w:space="0" w:color="808080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8080" w:themeColor="accent4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8080" w:themeColor="accent4"/>
          <w:bottom w:val="single" w:sz="8" w:space="0" w:color="808080" w:themeColor="accent4"/>
        </w:tcBorders>
      </w:tcPr>
    </w:tblStylePr>
    <w:tblStylePr w:type="band1Vert">
      <w:tblPr/>
      <w:tcPr>
        <w:shd w:val="clear" w:color="auto" w:fill="DFDFDF" w:themeFill="accent4" w:themeFillTint="3F"/>
      </w:tcPr>
    </w:tblStylePr>
    <w:tblStylePr w:type="band1Horz">
      <w:tblPr/>
      <w:tcPr>
        <w:shd w:val="clear" w:color="auto" w:fill="DFDFDF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bottom w:val="single" w:sz="8" w:space="0" w:color="5F5F5F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5F5F5F" w:themeColor="accent5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5F5F5F" w:themeColor="accent5"/>
          <w:bottom w:val="single" w:sz="8" w:space="0" w:color="5F5F5F" w:themeColor="accent5"/>
        </w:tcBorders>
      </w:tcPr>
    </w:tblStylePr>
    <w:tblStylePr w:type="band1Vert">
      <w:tblPr/>
      <w:tcPr>
        <w:shd w:val="clear" w:color="auto" w:fill="D7D7D7" w:themeFill="accent5" w:themeFillTint="3F"/>
      </w:tcPr>
    </w:tblStylePr>
    <w:tblStylePr w:type="band1Horz">
      <w:tblPr/>
      <w:tcPr>
        <w:shd w:val="clear" w:color="auto" w:fill="D7D7D7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bottom w:val="single" w:sz="8" w:space="0" w:color="4D4D4D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D4D4D" w:themeColor="accent6"/>
        </w:tcBorders>
      </w:tcPr>
    </w:tblStylePr>
    <w:tblStylePr w:type="lastRow">
      <w:rPr>
        <w:b/>
        <w:bCs/>
        <w:color w:val="000000" w:themeColor="text2"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D4D4D" w:themeColor="accent6"/>
          <w:bottom w:val="single" w:sz="8" w:space="0" w:color="4D4D4D" w:themeColor="accent6"/>
        </w:tcBorders>
      </w:tcPr>
    </w:tblStylePr>
    <w:tblStylePr w:type="band1Vert">
      <w:tblPr/>
      <w:tcPr>
        <w:shd w:val="clear" w:color="auto" w:fill="D3D3D3" w:themeFill="accent6" w:themeFillTint="3F"/>
      </w:tcPr>
    </w:tblStylePr>
    <w:tblStylePr w:type="band1Horz">
      <w:tblPr/>
      <w:tcPr>
        <w:shd w:val="clear" w:color="auto" w:fill="D3D3D3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DDDDD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DDDDD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DDDDD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DDDDD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6F6F6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B2B2B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2B2B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2B2B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EBEB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69696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69696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69696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5E5E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8080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8080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8080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FDF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5F5F5F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5F5F5F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5F5F5F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7D7D7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D4D4D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D4D4D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D4D4D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3D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E5E5E5" w:themeColor="accent1" w:themeTint="BF"/>
        <w:left w:val="single" w:sz="8" w:space="0" w:color="E5E5E5" w:themeColor="accent1" w:themeTint="BF"/>
        <w:bottom w:val="single" w:sz="8" w:space="0" w:color="E5E5E5" w:themeColor="accent1" w:themeTint="BF"/>
        <w:right w:val="single" w:sz="8" w:space="0" w:color="E5E5E5" w:themeColor="accent1" w:themeTint="BF"/>
        <w:insideH w:val="single" w:sz="8" w:space="0" w:color="E5E5E5" w:themeColor="accent1" w:themeTint="BF"/>
        <w:insideV w:val="single" w:sz="8" w:space="0" w:color="E5E5E5" w:themeColor="accent1" w:themeTint="BF"/>
      </w:tblBorders>
    </w:tblPr>
    <w:tcPr>
      <w:shd w:val="clear" w:color="auto" w:fill="F6F6F6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5E5E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5C5C5" w:themeColor="accent2" w:themeTint="BF"/>
        <w:left w:val="single" w:sz="8" w:space="0" w:color="C5C5C5" w:themeColor="accent2" w:themeTint="BF"/>
        <w:bottom w:val="single" w:sz="8" w:space="0" w:color="C5C5C5" w:themeColor="accent2" w:themeTint="BF"/>
        <w:right w:val="single" w:sz="8" w:space="0" w:color="C5C5C5" w:themeColor="accent2" w:themeTint="BF"/>
        <w:insideH w:val="single" w:sz="8" w:space="0" w:color="C5C5C5" w:themeColor="accent2" w:themeTint="BF"/>
        <w:insideV w:val="single" w:sz="8" w:space="0" w:color="C5C5C5" w:themeColor="accent2" w:themeTint="BF"/>
      </w:tblBorders>
    </w:tblPr>
    <w:tcPr>
      <w:shd w:val="clear" w:color="auto" w:fill="EBEBEB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5C5C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0B0B0" w:themeColor="accent3" w:themeTint="BF"/>
        <w:left w:val="single" w:sz="8" w:space="0" w:color="B0B0B0" w:themeColor="accent3" w:themeTint="BF"/>
        <w:bottom w:val="single" w:sz="8" w:space="0" w:color="B0B0B0" w:themeColor="accent3" w:themeTint="BF"/>
        <w:right w:val="single" w:sz="8" w:space="0" w:color="B0B0B0" w:themeColor="accent3" w:themeTint="BF"/>
        <w:insideH w:val="single" w:sz="8" w:space="0" w:color="B0B0B0" w:themeColor="accent3" w:themeTint="BF"/>
        <w:insideV w:val="single" w:sz="8" w:space="0" w:color="B0B0B0" w:themeColor="accent3" w:themeTint="BF"/>
      </w:tblBorders>
    </w:tblPr>
    <w:tcPr>
      <w:shd w:val="clear" w:color="auto" w:fill="E5E5E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0B0B0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9F9F" w:themeColor="accent4" w:themeTint="BF"/>
        <w:left w:val="single" w:sz="8" w:space="0" w:color="9F9F9F" w:themeColor="accent4" w:themeTint="BF"/>
        <w:bottom w:val="single" w:sz="8" w:space="0" w:color="9F9F9F" w:themeColor="accent4" w:themeTint="BF"/>
        <w:right w:val="single" w:sz="8" w:space="0" w:color="9F9F9F" w:themeColor="accent4" w:themeTint="BF"/>
        <w:insideH w:val="single" w:sz="8" w:space="0" w:color="9F9F9F" w:themeColor="accent4" w:themeTint="BF"/>
        <w:insideV w:val="single" w:sz="8" w:space="0" w:color="9F9F9F" w:themeColor="accent4" w:themeTint="BF"/>
      </w:tblBorders>
    </w:tblPr>
    <w:tcPr>
      <w:shd w:val="clear" w:color="auto" w:fill="DFDFDF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9F9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78787" w:themeColor="accent5" w:themeTint="BF"/>
        <w:left w:val="single" w:sz="8" w:space="0" w:color="878787" w:themeColor="accent5" w:themeTint="BF"/>
        <w:bottom w:val="single" w:sz="8" w:space="0" w:color="878787" w:themeColor="accent5" w:themeTint="BF"/>
        <w:right w:val="single" w:sz="8" w:space="0" w:color="878787" w:themeColor="accent5" w:themeTint="BF"/>
        <w:insideH w:val="single" w:sz="8" w:space="0" w:color="878787" w:themeColor="accent5" w:themeTint="BF"/>
        <w:insideV w:val="single" w:sz="8" w:space="0" w:color="878787" w:themeColor="accent5" w:themeTint="BF"/>
      </w:tblBorders>
    </w:tblPr>
    <w:tcPr>
      <w:shd w:val="clear" w:color="auto" w:fill="D7D7D7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78787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97979" w:themeColor="accent6" w:themeTint="BF"/>
        <w:left w:val="single" w:sz="8" w:space="0" w:color="797979" w:themeColor="accent6" w:themeTint="BF"/>
        <w:bottom w:val="single" w:sz="8" w:space="0" w:color="797979" w:themeColor="accent6" w:themeTint="BF"/>
        <w:right w:val="single" w:sz="8" w:space="0" w:color="797979" w:themeColor="accent6" w:themeTint="BF"/>
        <w:insideH w:val="single" w:sz="8" w:space="0" w:color="797979" w:themeColor="accent6" w:themeTint="BF"/>
        <w:insideV w:val="single" w:sz="8" w:space="0" w:color="797979" w:themeColor="accent6" w:themeTint="BF"/>
      </w:tblBorders>
    </w:tblPr>
    <w:tcPr>
      <w:shd w:val="clear" w:color="auto" w:fill="D3D3D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97979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DDDDDD" w:themeColor="accent1"/>
        <w:left w:val="single" w:sz="8" w:space="0" w:color="DDDDDD" w:themeColor="accent1"/>
        <w:bottom w:val="single" w:sz="8" w:space="0" w:color="DDDDDD" w:themeColor="accent1"/>
        <w:right w:val="single" w:sz="8" w:space="0" w:color="DDDDDD" w:themeColor="accent1"/>
        <w:insideH w:val="single" w:sz="8" w:space="0" w:color="DDDDDD" w:themeColor="accent1"/>
        <w:insideV w:val="single" w:sz="8" w:space="0" w:color="DDDDDD" w:themeColor="accent1"/>
      </w:tblBorders>
    </w:tblPr>
    <w:tcPr>
      <w:shd w:val="clear" w:color="auto" w:fill="F6F6F6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FBFBFB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1" w:themeFillTint="33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tcBorders>
          <w:insideH w:val="single" w:sz="6" w:space="0" w:color="DDDDDD" w:themeColor="accent1"/>
          <w:insideV w:val="single" w:sz="6" w:space="0" w:color="DDDDDD" w:themeColor="accent1"/>
        </w:tcBorders>
        <w:shd w:val="clear" w:color="auto" w:fill="EEEEE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B2B2B2" w:themeColor="accent2"/>
        <w:left w:val="single" w:sz="8" w:space="0" w:color="B2B2B2" w:themeColor="accent2"/>
        <w:bottom w:val="single" w:sz="8" w:space="0" w:color="B2B2B2" w:themeColor="accent2"/>
        <w:right w:val="single" w:sz="8" w:space="0" w:color="B2B2B2" w:themeColor="accent2"/>
        <w:insideH w:val="single" w:sz="8" w:space="0" w:color="B2B2B2" w:themeColor="accent2"/>
        <w:insideV w:val="single" w:sz="8" w:space="0" w:color="B2B2B2" w:themeColor="accent2"/>
      </w:tblBorders>
    </w:tblPr>
    <w:tcPr>
      <w:shd w:val="clear" w:color="auto" w:fill="EBEBEB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7F7F7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FEF" w:themeFill="accent2" w:themeFillTint="33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tcBorders>
          <w:insideH w:val="single" w:sz="6" w:space="0" w:color="B2B2B2" w:themeColor="accent2"/>
          <w:insideV w:val="single" w:sz="6" w:space="0" w:color="B2B2B2" w:themeColor="accent2"/>
        </w:tcBorders>
        <w:shd w:val="clear" w:color="auto" w:fill="D8D8D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69696" w:themeColor="accent3"/>
        <w:left w:val="single" w:sz="8" w:space="0" w:color="969696" w:themeColor="accent3"/>
        <w:bottom w:val="single" w:sz="8" w:space="0" w:color="969696" w:themeColor="accent3"/>
        <w:right w:val="single" w:sz="8" w:space="0" w:color="969696" w:themeColor="accent3"/>
        <w:insideH w:val="single" w:sz="8" w:space="0" w:color="969696" w:themeColor="accent3"/>
        <w:insideV w:val="single" w:sz="8" w:space="0" w:color="969696" w:themeColor="accent3"/>
      </w:tblBorders>
    </w:tblPr>
    <w:tcPr>
      <w:shd w:val="clear" w:color="auto" w:fill="E5E5E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4F4F4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EAEA" w:themeFill="accent3" w:themeFillTint="33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tcBorders>
          <w:insideH w:val="single" w:sz="6" w:space="0" w:color="969696" w:themeColor="accent3"/>
          <w:insideV w:val="single" w:sz="6" w:space="0" w:color="969696" w:themeColor="accent3"/>
        </w:tcBorders>
        <w:shd w:val="clear" w:color="auto" w:fill="CACACA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8080" w:themeColor="accent4"/>
        <w:left w:val="single" w:sz="8" w:space="0" w:color="808080" w:themeColor="accent4"/>
        <w:bottom w:val="single" w:sz="8" w:space="0" w:color="808080" w:themeColor="accent4"/>
        <w:right w:val="single" w:sz="8" w:space="0" w:color="808080" w:themeColor="accent4"/>
        <w:insideH w:val="single" w:sz="8" w:space="0" w:color="808080" w:themeColor="accent4"/>
        <w:insideV w:val="single" w:sz="8" w:space="0" w:color="808080" w:themeColor="accent4"/>
      </w:tblBorders>
    </w:tblPr>
    <w:tcPr>
      <w:shd w:val="clear" w:color="auto" w:fill="DFDFDF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F2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4" w:themeFillTint="33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tcBorders>
          <w:insideH w:val="single" w:sz="6" w:space="0" w:color="808080" w:themeColor="accent4"/>
          <w:insideV w:val="single" w:sz="6" w:space="0" w:color="808080" w:themeColor="accent4"/>
        </w:tcBorders>
        <w:shd w:val="clear" w:color="auto" w:fill="BFBFBF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5F5F5F" w:themeColor="accent5"/>
        <w:left w:val="single" w:sz="8" w:space="0" w:color="5F5F5F" w:themeColor="accent5"/>
        <w:bottom w:val="single" w:sz="8" w:space="0" w:color="5F5F5F" w:themeColor="accent5"/>
        <w:right w:val="single" w:sz="8" w:space="0" w:color="5F5F5F" w:themeColor="accent5"/>
        <w:insideH w:val="single" w:sz="8" w:space="0" w:color="5F5F5F" w:themeColor="accent5"/>
        <w:insideV w:val="single" w:sz="8" w:space="0" w:color="5F5F5F" w:themeColor="accent5"/>
      </w:tblBorders>
    </w:tblPr>
    <w:tcPr>
      <w:shd w:val="clear" w:color="auto" w:fill="D7D7D7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FEFEF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5" w:themeFillTint="33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tcBorders>
          <w:insideH w:val="single" w:sz="6" w:space="0" w:color="5F5F5F" w:themeColor="accent5"/>
          <w:insideV w:val="single" w:sz="6" w:space="0" w:color="5F5F5F" w:themeColor="accent5"/>
        </w:tcBorders>
        <w:shd w:val="clear" w:color="auto" w:fill="AFAFAF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D4D4D" w:themeColor="accent6"/>
        <w:left w:val="single" w:sz="8" w:space="0" w:color="4D4D4D" w:themeColor="accent6"/>
        <w:bottom w:val="single" w:sz="8" w:space="0" w:color="4D4D4D" w:themeColor="accent6"/>
        <w:right w:val="single" w:sz="8" w:space="0" w:color="4D4D4D" w:themeColor="accent6"/>
        <w:insideH w:val="single" w:sz="8" w:space="0" w:color="4D4D4D" w:themeColor="accent6"/>
        <w:insideV w:val="single" w:sz="8" w:space="0" w:color="4D4D4D" w:themeColor="accent6"/>
      </w:tblBorders>
    </w:tblPr>
    <w:tcPr>
      <w:shd w:val="clear" w:color="auto" w:fill="D3D3D3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DEDED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DBDB" w:themeFill="accent6" w:themeFillTint="33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tcBorders>
          <w:insideH w:val="single" w:sz="6" w:space="0" w:color="4D4D4D" w:themeColor="accent6"/>
          <w:insideV w:val="single" w:sz="6" w:space="0" w:color="4D4D4D" w:themeColor="accent6"/>
        </w:tcBorders>
        <w:shd w:val="clear" w:color="auto" w:fill="A6A6A6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6F6F6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DDDDD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DDDDD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DDDDD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EEEE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EEEE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EBEB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2B2B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2B2B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2B2B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D8D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D8D8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5E5E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69696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69696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69696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ACACA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ACACA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FDF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8080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8080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8080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FBF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FBF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7D7D7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5F5F5F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5F5F5F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FAFAF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FAFAF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3D3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D4D4D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D4D4D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D4D4D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6A6A6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6A6A6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DDDDD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E6E6E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A5A5A5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5A5A5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B2B2B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85858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5858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8585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69696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A4A4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07070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07070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8080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F3F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5F5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5F5F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5F5F5F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F2F2F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474747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74747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D4D4D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262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93939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DDDDDD" w:themeColor="accent1"/>
        <w:bottom w:val="single" w:sz="4" w:space="0" w:color="DDDDDD" w:themeColor="accent1"/>
        <w:right w:val="single" w:sz="4" w:space="0" w:color="DDDDD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FBFB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84848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48484" w:themeColor="accent1" w:themeShade="99"/>
          <w:insideV w:val="nil"/>
        </w:tcBorders>
        <w:shd w:val="clear" w:color="auto" w:fill="84848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8484" w:themeFill="accent1" w:themeFillShade="99"/>
      </w:tcPr>
    </w:tblStylePr>
    <w:tblStylePr w:type="band1Vert">
      <w:tblPr/>
      <w:tcPr>
        <w:shd w:val="clear" w:color="auto" w:fill="F1F1F1" w:themeFill="accent1" w:themeFillTint="66"/>
      </w:tcPr>
    </w:tblStylePr>
    <w:tblStylePr w:type="band1Horz">
      <w:tblPr/>
      <w:tcPr>
        <w:shd w:val="clear" w:color="auto" w:fill="EEEEE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B2B2B2" w:themeColor="accent2"/>
        <w:left w:val="single" w:sz="4" w:space="0" w:color="B2B2B2" w:themeColor="accent2"/>
        <w:bottom w:val="single" w:sz="4" w:space="0" w:color="B2B2B2" w:themeColor="accent2"/>
        <w:right w:val="single" w:sz="4" w:space="0" w:color="B2B2B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7F7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2B2B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6A6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6A6A" w:themeColor="accent2" w:themeShade="99"/>
          <w:insideV w:val="nil"/>
        </w:tcBorders>
        <w:shd w:val="clear" w:color="auto" w:fill="6A6A6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6A6A" w:themeFill="accent2" w:themeFillShade="99"/>
      </w:tcPr>
    </w:tblStylePr>
    <w:tblStylePr w:type="band1Vert">
      <w:tblPr/>
      <w:tcPr>
        <w:shd w:val="clear" w:color="auto" w:fill="E0E0E0" w:themeFill="accent2" w:themeFillTint="66"/>
      </w:tcPr>
    </w:tblStylePr>
    <w:tblStylePr w:type="band1Horz">
      <w:tblPr/>
      <w:tcPr>
        <w:shd w:val="clear" w:color="auto" w:fill="D8D8D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8080" w:themeColor="accent4"/>
        <w:left w:val="single" w:sz="4" w:space="0" w:color="969696" w:themeColor="accent3"/>
        <w:bottom w:val="single" w:sz="4" w:space="0" w:color="969696" w:themeColor="accent3"/>
        <w:right w:val="single" w:sz="4" w:space="0" w:color="969696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4F4F4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8080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A5A5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A5A5A" w:themeColor="accent3" w:themeShade="99"/>
          <w:insideV w:val="nil"/>
        </w:tcBorders>
        <w:shd w:val="clear" w:color="auto" w:fill="5A5A5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A5A5A" w:themeFill="accent3" w:themeFillShade="99"/>
      </w:tcPr>
    </w:tblStylePr>
    <w:tblStylePr w:type="band1Vert">
      <w:tblPr/>
      <w:tcPr>
        <w:shd w:val="clear" w:color="auto" w:fill="D5D5D5" w:themeFill="accent3" w:themeFillTint="66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69696" w:themeColor="accent3"/>
        <w:left w:val="single" w:sz="4" w:space="0" w:color="808080" w:themeColor="accent4"/>
        <w:bottom w:val="single" w:sz="4" w:space="0" w:color="808080" w:themeColor="accent4"/>
        <w:right w:val="single" w:sz="4" w:space="0" w:color="808080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69696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4C4C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4C4C" w:themeColor="accent4" w:themeShade="99"/>
          <w:insideV w:val="nil"/>
        </w:tcBorders>
        <w:shd w:val="clear" w:color="auto" w:fill="4C4C4C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4C4C" w:themeFill="accent4" w:themeFillShade="99"/>
      </w:tcPr>
    </w:tblStylePr>
    <w:tblStylePr w:type="band1Vert">
      <w:tblPr/>
      <w:tcPr>
        <w:shd w:val="clear" w:color="auto" w:fill="CCCCCC" w:themeFill="accent4" w:themeFillTint="66"/>
      </w:tcPr>
    </w:tblStylePr>
    <w:tblStylePr w:type="band1Horz">
      <w:tblPr/>
      <w:tcPr>
        <w:shd w:val="clear" w:color="auto" w:fill="BFBFBF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D4D4D" w:themeColor="accent6"/>
        <w:left w:val="single" w:sz="4" w:space="0" w:color="5F5F5F" w:themeColor="accent5"/>
        <w:bottom w:val="single" w:sz="4" w:space="0" w:color="5F5F5F" w:themeColor="accent5"/>
        <w:right w:val="single" w:sz="4" w:space="0" w:color="5F5F5F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FEF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D4D4D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393939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393939" w:themeColor="accent5" w:themeShade="99"/>
          <w:insideV w:val="nil"/>
        </w:tcBorders>
        <w:shd w:val="clear" w:color="auto" w:fill="393939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93939" w:themeFill="accent5" w:themeFillShade="99"/>
      </w:tcPr>
    </w:tblStylePr>
    <w:tblStylePr w:type="band1Vert">
      <w:tblPr/>
      <w:tcPr>
        <w:shd w:val="clear" w:color="auto" w:fill="BFBFBF" w:themeFill="accent5" w:themeFillTint="66"/>
      </w:tcPr>
    </w:tblStylePr>
    <w:tblStylePr w:type="band1Horz">
      <w:tblPr/>
      <w:tcPr>
        <w:shd w:val="clear" w:color="auto" w:fill="AFAFAF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5F5F5F" w:themeColor="accent5"/>
        <w:left w:val="single" w:sz="4" w:space="0" w:color="4D4D4D" w:themeColor="accent6"/>
        <w:bottom w:val="single" w:sz="4" w:space="0" w:color="4D4D4D" w:themeColor="accent6"/>
        <w:right w:val="single" w:sz="4" w:space="0" w:color="4D4D4D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EDED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5F5F5F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2E2E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2E2E" w:themeColor="accent6" w:themeShade="99"/>
          <w:insideV w:val="nil"/>
        </w:tcBorders>
        <w:shd w:val="clear" w:color="auto" w:fill="2E2E2E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2E2E" w:themeFill="accent6" w:themeFillShade="99"/>
      </w:tcPr>
    </w:tblStylePr>
    <w:tblStylePr w:type="band1Vert">
      <w:tblPr/>
      <w:tcPr>
        <w:shd w:val="clear" w:color="auto" w:fill="B7B7B7" w:themeFill="accent6" w:themeFillTint="66"/>
      </w:tcPr>
    </w:tblStylePr>
    <w:tblStylePr w:type="band1Horz">
      <w:tblPr/>
      <w:tcPr>
        <w:shd w:val="clear" w:color="auto" w:fill="A6A6A6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BFBFB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F6F6" w:themeFill="accent1" w:themeFillTint="3F"/>
      </w:tcPr>
    </w:tblStylePr>
    <w:tblStylePr w:type="band1Horz">
      <w:tblPr/>
      <w:tcPr>
        <w:shd w:val="clear" w:color="auto" w:fill="F8F8F8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F7F7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E8E8E" w:themeFill="accent2" w:themeFillShade="CC"/>
      </w:tcPr>
    </w:tblStylePr>
    <w:tblStylePr w:type="lastRow">
      <w:rPr>
        <w:b/>
        <w:bCs/>
        <w:color w:val="8E8E8E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EBEB" w:themeFill="accent2" w:themeFillTint="3F"/>
      </w:tcPr>
    </w:tblStylePr>
    <w:tblStylePr w:type="band1Horz">
      <w:tblPr/>
      <w:tcPr>
        <w:shd w:val="clear" w:color="auto" w:fill="EFEFEF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4F4F4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6666" w:themeFill="accent4" w:themeFillShade="CC"/>
      </w:tcPr>
    </w:tblStylePr>
    <w:tblStylePr w:type="lastRow">
      <w:rPr>
        <w:b/>
        <w:bCs/>
        <w:color w:val="666666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E5E5" w:themeFill="accent3" w:themeFillTint="3F"/>
      </w:tcPr>
    </w:tblStylePr>
    <w:tblStylePr w:type="band1Horz">
      <w:tblPr/>
      <w:tcPr>
        <w:shd w:val="clear" w:color="auto" w:fill="EAEAEA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F2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87878" w:themeFill="accent3" w:themeFillShade="CC"/>
      </w:tcPr>
    </w:tblStylePr>
    <w:tblStylePr w:type="lastRow">
      <w:rPr>
        <w:b/>
        <w:bCs/>
        <w:color w:val="787878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FDF" w:themeFill="accent4" w:themeFillTint="3F"/>
      </w:tcPr>
    </w:tblStylePr>
    <w:tblStylePr w:type="band1Horz">
      <w:tblPr/>
      <w:tcPr>
        <w:shd w:val="clear" w:color="auto" w:fill="E5E5E5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FEFEF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D3D3D" w:themeFill="accent6" w:themeFillShade="CC"/>
      </w:tcPr>
    </w:tblStylePr>
    <w:tblStylePr w:type="lastRow">
      <w:rPr>
        <w:b/>
        <w:bCs/>
        <w:color w:val="3D3D3D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7D7D7" w:themeFill="accent5" w:themeFillTint="3F"/>
      </w:tcPr>
    </w:tblStylePr>
    <w:tblStylePr w:type="band1Horz">
      <w:tblPr/>
      <w:tcPr>
        <w:shd w:val="clear" w:color="auto" w:fill="DFDFDF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EDED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4C4C4C" w:themeFill="accent5" w:themeFillShade="CC"/>
      </w:tcPr>
    </w:tblStylePr>
    <w:tblStylePr w:type="lastRow">
      <w:rPr>
        <w:b/>
        <w:bCs/>
        <w:color w:val="4C4C4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3D3" w:themeFill="accent6" w:themeFillTint="3F"/>
      </w:tcPr>
    </w:tblStylePr>
    <w:tblStylePr w:type="band1Horz">
      <w:tblPr/>
      <w:tcPr>
        <w:shd w:val="clear" w:color="auto" w:fill="DBDBDB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8F8F8" w:themeFill="accent1" w:themeFillTint="33"/>
    </w:tcPr>
    <w:tblStylePr w:type="firstRow">
      <w:rPr>
        <w:b/>
        <w:bCs/>
      </w:rPr>
      <w:tblPr/>
      <w:tcPr>
        <w:shd w:val="clear" w:color="auto" w:fill="F1F1F1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1F1F1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A5A5A5" w:themeFill="accent1" w:themeFillShade="BF"/>
      </w:tcPr>
    </w:tblStylePr>
    <w:tblStylePr w:type="band1Vert">
      <w:tblPr/>
      <w:tcPr>
        <w:shd w:val="clear" w:color="auto" w:fill="EEEEEE" w:themeFill="accent1" w:themeFillTint="7F"/>
      </w:tcPr>
    </w:tblStylePr>
    <w:tblStylePr w:type="band1Horz">
      <w:tblPr/>
      <w:tcPr>
        <w:shd w:val="clear" w:color="auto" w:fill="EEEEE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FEF" w:themeFill="accent2" w:themeFillTint="33"/>
    </w:tcPr>
    <w:tblStylePr w:type="firstRow">
      <w:rPr>
        <w:b/>
        <w:bCs/>
      </w:rPr>
      <w:tblPr/>
      <w:tcPr>
        <w:shd w:val="clear" w:color="auto" w:fill="E0E0E0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0E0E0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858585" w:themeFill="accent2" w:themeFillShade="BF"/>
      </w:tcPr>
    </w:tblStylePr>
    <w:tblStylePr w:type="band1Vert">
      <w:tblPr/>
      <w:tcPr>
        <w:shd w:val="clear" w:color="auto" w:fill="D8D8D8" w:themeFill="accent2" w:themeFillTint="7F"/>
      </w:tcPr>
    </w:tblStylePr>
    <w:tblStylePr w:type="band1Horz">
      <w:tblPr/>
      <w:tcPr>
        <w:shd w:val="clear" w:color="auto" w:fill="D8D8D8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EAEA" w:themeFill="accent3" w:themeFillTint="33"/>
    </w:tcPr>
    <w:tblStylePr w:type="firstRow">
      <w:rPr>
        <w:b/>
        <w:bCs/>
      </w:rPr>
      <w:tblPr/>
      <w:tcPr>
        <w:shd w:val="clear" w:color="auto" w:fill="D5D5D5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5D5D5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07070" w:themeFill="accent3" w:themeFillShade="BF"/>
      </w:tcPr>
    </w:tblStylePr>
    <w:tblStylePr w:type="band1Vert">
      <w:tblPr/>
      <w:tcPr>
        <w:shd w:val="clear" w:color="auto" w:fill="CACACA" w:themeFill="accent3" w:themeFillTint="7F"/>
      </w:tcPr>
    </w:tblStylePr>
    <w:tblStylePr w:type="band1Horz">
      <w:tblPr/>
      <w:tcPr>
        <w:shd w:val="clear" w:color="auto" w:fill="CACACA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E5E5" w:themeFill="accent4" w:themeFillTint="33"/>
    </w:tcPr>
    <w:tblStylePr w:type="firstRow">
      <w:rPr>
        <w:b/>
        <w:bCs/>
      </w:rPr>
      <w:tblPr/>
      <w:tcPr>
        <w:shd w:val="clear" w:color="auto" w:fill="CCCCCC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CCC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5F5F" w:themeFill="accent4" w:themeFillShade="BF"/>
      </w:tcPr>
    </w:tblStylePr>
    <w:tblStylePr w:type="band1Vert">
      <w:tblPr/>
      <w:tcPr>
        <w:shd w:val="clear" w:color="auto" w:fill="BFBFBF" w:themeFill="accent4" w:themeFillTint="7F"/>
      </w:tcPr>
    </w:tblStylePr>
    <w:tblStylePr w:type="band1Horz">
      <w:tblPr/>
      <w:tcPr>
        <w:shd w:val="clear" w:color="auto" w:fill="BFBFBF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FDFDF" w:themeFill="accent5" w:themeFillTint="33"/>
    </w:tcPr>
    <w:tblStylePr w:type="firstRow">
      <w:rPr>
        <w:b/>
        <w:bCs/>
      </w:rPr>
      <w:tblPr/>
      <w:tcPr>
        <w:shd w:val="clear" w:color="auto" w:fill="BFBFBF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FBFBF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474747" w:themeFill="accent5" w:themeFillShade="BF"/>
      </w:tcPr>
    </w:tblStylePr>
    <w:tblStylePr w:type="band1Vert">
      <w:tblPr/>
      <w:tcPr>
        <w:shd w:val="clear" w:color="auto" w:fill="AFAFAF" w:themeFill="accent5" w:themeFillTint="7F"/>
      </w:tcPr>
    </w:tblStylePr>
    <w:tblStylePr w:type="band1Horz">
      <w:tblPr/>
      <w:tcPr>
        <w:shd w:val="clear" w:color="auto" w:fill="AFAFAF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DBDB" w:themeFill="accent6" w:themeFillTint="33"/>
    </w:tcPr>
    <w:tblStylePr w:type="firstRow">
      <w:rPr>
        <w:b/>
        <w:bCs/>
      </w:rPr>
      <w:tblPr/>
      <w:tcPr>
        <w:shd w:val="clear" w:color="auto" w:fill="B7B7B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B7B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93939" w:themeFill="accent6" w:themeFillShade="BF"/>
      </w:tcPr>
    </w:tblStylePr>
    <w:tblStylePr w:type="band1Vert">
      <w:tblPr/>
      <w:tcPr>
        <w:shd w:val="clear" w:color="auto" w:fill="A6A6A6" w:themeFill="accent6" w:themeFillTint="7F"/>
      </w:tcPr>
    </w:tblStylePr>
    <w:tblStylePr w:type="band1Horz">
      <w:tblPr/>
      <w:tcPr>
        <w:shd w:val="clear" w:color="auto" w:fill="A6A6A6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Gre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291</Words>
  <Characters>1662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Tran, Tammy</cp:lastModifiedBy>
  <cp:revision>2</cp:revision>
  <dcterms:created xsi:type="dcterms:W3CDTF">2013-12-23T23:15:00Z</dcterms:created>
  <dcterms:modified xsi:type="dcterms:W3CDTF">2025-03-23T11:41:00Z</dcterms:modified>
  <cp:category/>
</cp:coreProperties>
</file>