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rFonts w:ascii="Arial" w:hAnsi="Arial" w:cs="Arial"/>
          <w:b/>
          <w:bCs/>
          <w:i w:val="0"/>
          <w:iCs w:val="0"/>
          <w:color w:val="000000"/>
          <w:sz w:val="32"/>
          <w:szCs w:val="32"/>
        </w:rPr>
        <w:t xml:space="preserve">Predictive Model Plan – Delinquency Prediction</w:t>
      </w:r>
    </w:p>
    <w:p>
      <w:pPr>
        <w:pStyle w:val="Heading1"/>
      </w:pPr>
      <w:r>
        <w:rPr>
          <w:rFonts w:ascii="Arial" w:hAnsi="Arial" w:cs="Arial"/>
          <w:i w:val="0"/>
          <w:iCs w:val="0"/>
          <w:color w:val="000000"/>
        </w:rPr>
        <w:t xml:space="preserve">1. Model Logic (Generated with GenAI)</w:t>
      </w:r>
    </w:p>
    <w:p>
      <w:pPr>
        <w:spacing w:after="120"/>
      </w:pPr>
      <w:r>
        <w:rPr>
          <w:rFonts w:ascii="Arial" w:hAnsi="Arial" w:cs="Arial"/>
          <w:i w:val="0"/>
          <w:iCs w:val="0"/>
          <w:color w:val="000000"/>
        </w:rPr>
        <w:t xml:space="preserve">Using Claude (an AI assistant made by Anthropic), I generated the logic for a logistic regression model that estimates the probability that a Geldium customer becomes delinquent (Delinquent_Account = 1). It is built on the Geldium dataset of 500 customers, of whom 80 (16%) are delinquent. The inputs are the demographic and financial fields (Age, Income, Credit_Score, Cap-Credit-Uti, Missed_Payments, Loan_Balance, Debt_to_Income_Ratio, Account_Tenure, Over-Limit), the six monthly payment statuses (Month_1 to Month_6), and the customer’s Employment_Status, Credit_Card_Type and Location. The output is a probability between 0 and 1, and customers above a chosen threshold are flagged as high risk so Geldium can intervene early (e.g., payment reminders or adjusted credit limits).</w:t>
      </w:r>
    </w:p>
    <w:p>
      <w:pPr>
        <w:keepNext/>
        <w:spacing w:after="60"/>
      </w:pPr>
      <w:r>
        <w:rPr>
          <w:rFonts w:ascii="Arial" w:hAnsi="Arial" w:cs="Arial"/>
          <w:b/>
          <w:bCs/>
          <w:i w:val="0"/>
          <w:iCs w:val="0"/>
          <w:color w:val="000000"/>
        </w:rPr>
        <w:t xml:space="preserve">Pseudo-code:</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1. Load Delinquency_prediction_dataset (500 customers, 20 columns)</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2. Target = Delinquent_Account; drop Customer_ID (identifier only)</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3. Standardise Employment_Status text (e.g., "retired" -&gt; "Retired")</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4. Validate: no missing values found; check Missed_Payments against the</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   number of "Missed" months in Month_1 ... Month_6</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5. Convert Month_1 ... Month_6 to numbers (On-time = 0, Late = 1, Missed = 2);</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   add total_missed and total_late counts</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6. One-hot encode Employment_Status, Credit_Card_Type, Location</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7. Features = Age, Income, Credit_Score, Cap-Credit-Uti, Missed_Payments,</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   Loan_Balance, Debt_to_Income_Ratio, Account_Tenure, Over-Limit,</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   monthly payment features, encoded categories</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8. Stratified 80/20 train/test split (keeps the 16% delinquent share in both)</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9. Scale numeric features; fit LogisticRegression(class_weight='balanced')</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10. Fit RandomForestClassifier(n_estimators=200, max_depth=10,</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    class_weight='balanced') as a comparison model</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11. Predict probabilities on the test set</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12. Evaluate: precision, recall, F1, AUC-ROC, AUC-PR, confusion matrix</w:t>
      </w:r>
    </w:p>
    <w:p>
      <w:pPr>
        <w:pBdr>
          <w:left w:val="single" w:sz="18" w:space="6" w:color="7F7F7F"/>
        </w:pBdr>
        <w:shd w:val="clear" w:color="auto" w:fill="F2F2F2"/>
        <w:spacing w:after="0" w:line="240" w:lineRule="auto"/>
        <w:ind w:left="120"/>
      </w:pPr>
      <w:r>
        <w:rPr>
          <w:rFonts w:ascii="Courier New" w:hAnsi="Courier New" w:cs="Courier New"/>
          <w:i w:val="0"/>
          <w:iCs w:val="0"/>
          <w:color w:val="000000"/>
          <w:sz w:val="16"/>
          <w:szCs w:val="16"/>
        </w:rPr>
        <w:t xml:space="preserve">13. Flag customer as HIGH RISK if probability &gt;= threshold (tuned in step 12)</w:t>
      </w:r>
    </w:p>
    <w:p>
      <w:pPr>
        <w:spacing w:after="60"/>
      </w:pPr>
    </w:p>
    <w:p>
      <w:pPr>
        <w:spacing w:after="120"/>
      </w:pPr>
      <w:r>
        <w:rPr>
          <w:rFonts w:ascii="Arial" w:hAnsi="Arial" w:cs="Arial"/>
          <w:b/>
          <w:bCs/>
          <w:i w:val="0"/>
          <w:iCs w:val="0"/>
          <w:color w:val="000000"/>
        </w:rPr>
        <w:t xml:space="preserve">In plain words:</w:t>
      </w:r>
      <w:r>
        <w:rPr>
          <w:rFonts w:ascii="Arial" w:hAnsi="Arial" w:cs="Arial"/>
          <w:i w:val="0"/>
          <w:iCs w:val="0"/>
          <w:color w:val="000000"/>
        </w:rPr>
        <w:t xml:space="preserve"> the model turns each customer’s profile and payment history into numbers, learns how much each factor raises or lowers delinquency risk, and converts them into a probability that is compared with the threshold.</w:t>
      </w:r>
    </w:p>
    <w:p>
      <w:pPr>
        <w:pStyle w:val="Heading1"/>
      </w:pPr>
      <w:r>
        <w:rPr>
          <w:rFonts w:ascii="Arial" w:hAnsi="Arial" w:cs="Arial"/>
          <w:i w:val="0"/>
          <w:iCs w:val="0"/>
          <w:color w:val="000000"/>
        </w:rPr>
        <w:t xml:space="preserve">2. Justification for Model Choice</w:t>
      </w:r>
    </w:p>
    <w:p>
      <w:pPr>
        <w:spacing w:after="120"/>
      </w:pPr>
      <w:r>
        <w:rPr>
          <w:rFonts w:ascii="Arial" w:hAnsi="Arial" w:cs="Arial"/>
          <w:i w:val="0"/>
          <w:iCs w:val="0"/>
          <w:color w:val="000000"/>
        </w:rPr>
        <w:t xml:space="preserve">I chose logistic regression as the main model, with a Random Forest as a comparison model. The dataset is small (500 rows, only 80 delinquent customers), so a simple model is less likely to overfit than a complex one.</w:t>
      </w:r>
    </w:p>
    <w:p>
      <w:pPr>
        <w:numPr>
          <w:ilvl w:val="0"/>
          <w:numId w:val="20"/>
        </w:numPr>
        <w:spacing w:after="60"/>
      </w:pPr>
      <w:r>
        <w:rPr>
          <w:rFonts w:ascii="Arial" w:hAnsi="Arial" w:cs="Arial"/>
          <w:b/>
          <w:bCs/>
          <w:i w:val="0"/>
          <w:iCs w:val="0"/>
          <w:color w:val="000000"/>
        </w:rPr>
        <w:t xml:space="preserve">Accuracy:</w:t>
      </w:r>
      <w:r>
        <w:rPr>
          <w:rFonts w:ascii="Arial" w:hAnsi="Arial" w:cs="Arial"/>
          <w:i w:val="0"/>
          <w:iCs w:val="0"/>
          <w:color w:val="000000"/>
        </w:rPr>
        <w:t xml:space="preserve"> Logistic regression gives a solid baseline for binary credit-risk prediction. The Random Forest is trained alongside it to check whether non-linear patterns improve results; I would only switch if it clearly beats logistic regression on cross-validated AUC-PR.</w:t>
      </w:r>
    </w:p>
    <w:p>
      <w:pPr>
        <w:numPr>
          <w:ilvl w:val="0"/>
          <w:numId w:val="20"/>
        </w:numPr>
        <w:spacing w:after="60"/>
      </w:pPr>
      <w:r>
        <w:rPr>
          <w:rFonts w:ascii="Arial" w:hAnsi="Arial" w:cs="Arial"/>
          <w:b/>
          <w:bCs/>
          <w:i w:val="0"/>
          <w:iCs w:val="0"/>
          <w:color w:val="000000"/>
        </w:rPr>
        <w:t xml:space="preserve">Transparency:</w:t>
      </w:r>
      <w:r>
        <w:rPr>
          <w:rFonts w:ascii="Arial" w:hAnsi="Arial" w:cs="Arial"/>
          <w:i w:val="0"/>
          <w:iCs w:val="0"/>
          <w:color w:val="000000"/>
        </w:rPr>
        <w:t xml:space="preserve"> Each coefficient shows how a factor such as Debt_to_Income_Ratio or Cap-Credit-Uti moves the risk, so Geldium can explain why a customer was flagged to regulators and to the customer.</w:t>
      </w:r>
    </w:p>
    <w:p>
      <w:pPr>
        <w:numPr>
          <w:ilvl w:val="0"/>
          <w:numId w:val="20"/>
        </w:numPr>
        <w:spacing w:after="60"/>
      </w:pPr>
      <w:r>
        <w:rPr>
          <w:rFonts w:ascii="Arial" w:hAnsi="Arial" w:cs="Arial"/>
          <w:b/>
          <w:bCs/>
          <w:i w:val="0"/>
          <w:iCs w:val="0"/>
          <w:color w:val="000000"/>
        </w:rPr>
        <w:t xml:space="preserve">Ease of implementation:</w:t>
      </w:r>
      <w:r>
        <w:rPr>
          <w:rFonts w:ascii="Arial" w:hAnsi="Arial" w:cs="Arial"/>
          <w:i w:val="0"/>
          <w:iCs w:val="0"/>
          <w:color w:val="000000"/>
        </w:rPr>
        <w:t xml:space="preserve"> It trains in seconds with scikit-learn, needs no special hardware, and is easy to retrain and monitor.</w:t>
      </w:r>
    </w:p>
    <w:p>
      <w:pPr>
        <w:numPr>
          <w:ilvl w:val="0"/>
          <w:numId w:val="20"/>
        </w:numPr>
        <w:spacing w:after="60"/>
      </w:pPr>
      <w:r>
        <w:rPr>
          <w:rFonts w:ascii="Arial" w:hAnsi="Arial" w:cs="Arial"/>
          <w:b/>
          <w:bCs/>
          <w:i w:val="0"/>
          <w:iCs w:val="0"/>
          <w:color w:val="000000"/>
        </w:rPr>
        <w:t xml:space="preserve">Relevance for financial prediction:</w:t>
      </w:r>
      <w:r>
        <w:rPr>
          <w:rFonts w:ascii="Arial" w:hAnsi="Arial" w:cs="Arial"/>
          <w:i w:val="0"/>
          <w:iCs w:val="0"/>
          <w:color w:val="000000"/>
        </w:rPr>
        <w:t xml:space="preserve"> Logistic regression is a long-standing standard for credit scoring and handles a mix of numeric and one-hot encoded categorical inputs.</w:t>
      </w:r>
    </w:p>
    <w:p>
      <w:pPr>
        <w:numPr>
          <w:ilvl w:val="0"/>
          <w:numId w:val="20"/>
        </w:numPr>
        <w:spacing w:after="60"/>
      </w:pPr>
      <w:r>
        <w:rPr>
          <w:rFonts w:ascii="Arial" w:hAnsi="Arial" w:cs="Arial"/>
          <w:b/>
          <w:bCs/>
          <w:i w:val="0"/>
          <w:iCs w:val="0"/>
          <w:color w:val="000000"/>
        </w:rPr>
        <w:t xml:space="preserve">Suitability for Geldium:</w:t>
      </w:r>
      <w:r>
        <w:rPr>
          <w:rFonts w:ascii="Arial" w:hAnsi="Arial" w:cs="Arial"/>
          <w:i w:val="0"/>
          <w:iCs w:val="0"/>
          <w:color w:val="000000"/>
        </w:rPr>
        <w:t xml:space="preserve"> Geldium needs a defensible, explainable way to identify at-risk customers early. class_weight='balanced' compensates for the 84/16 class split without creating synthetic data.</w:t>
      </w:r>
    </w:p>
    <w:p>
      <w:pPr>
        <w:spacing w:after="120"/>
      </w:pPr>
      <w:r>
        <w:rPr>
          <w:rFonts w:ascii="Arial" w:hAnsi="Arial" w:cs="Arial"/>
          <w:i w:val="0"/>
          <w:iCs w:val="0"/>
          <w:color w:val="000000"/>
        </w:rPr>
        <w:t xml:space="preserve">I did not choose a neural network or XGBoost because they overfit easily on 500 rows and are harder to explain.</w:t>
      </w:r>
    </w:p>
    <w:p>
      <w:pPr>
        <w:pStyle w:val="Heading1"/>
      </w:pPr>
      <w:r>
        <w:rPr>
          <w:rFonts w:ascii="Arial" w:hAnsi="Arial" w:cs="Arial"/>
          <w:i w:val="0"/>
          <w:iCs w:val="0"/>
          <w:color w:val="000000"/>
        </w:rPr>
        <w:t xml:space="preserve">3. Evaluation Strategy</w:t>
      </w:r>
    </w:p>
    <w:p>
      <w:pPr>
        <w:spacing w:after="120"/>
      </w:pPr>
      <w:r>
        <w:rPr>
          <w:rFonts w:ascii="Arial" w:hAnsi="Arial" w:cs="Arial"/>
          <w:b/>
          <w:bCs/>
          <w:i w:val="0"/>
          <w:iCs w:val="0"/>
          <w:color w:val="000000"/>
        </w:rPr>
        <w:t xml:space="preserve">Data checks first.</w:t>
      </w:r>
      <w:r>
        <w:rPr>
          <w:rFonts w:ascii="Arial" w:hAnsi="Arial" w:cs="Arial"/>
          <w:i w:val="0"/>
          <w:iCs w:val="0"/>
          <w:color w:val="000000"/>
        </w:rPr>
        <w:t xml:space="preserve"> A review of the dataset found that it has no missing values, but it also raised issues to resolve before modelling. Missed_Payments does not match the number of “Missed” months in Month_1 to Month_6 (correlation of about 0.01), Employment_Status has an inconsistent label (“retired” in lower case), and Over-Limit applies to only 4 customers, so it has almost no predictive power. Cap-Credit-Uti is already capped at 1.0. The numeric features also show very weak individual relationships with Delinquent_Account (all correlations below 0.05 in size).</w:t>
      </w:r>
    </w:p>
    <w:p>
      <w:pPr>
        <w:spacing w:after="120"/>
      </w:pPr>
      <w:r>
        <w:rPr>
          <w:rFonts w:ascii="Arial" w:hAnsi="Arial" w:cs="Arial"/>
          <w:b/>
          <w:bCs/>
          <w:i w:val="0"/>
          <w:iCs w:val="0"/>
          <w:color w:val="000000"/>
        </w:rPr>
        <w:t xml:space="preserve">Metrics.</w:t>
      </w:r>
      <w:r>
        <w:rPr>
          <w:rFonts w:ascii="Arial" w:hAnsi="Arial" w:cs="Arial"/>
          <w:i w:val="0"/>
          <w:iCs w:val="0"/>
          <w:color w:val="000000"/>
        </w:rPr>
        <w:t xml:space="preserve"> With only 16% delinquent customers, accuracy is misleading: predicting “not delinquent” for everyone would score 84%. I would report accuracy but rely on:</w:t>
      </w:r>
    </w:p>
    <w:tbl>
      <w:tblPr>
        <w:tblW w:w="8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Pr>
      <w:tblGrid>
        <w:gridCol w:w="1800"/>
        <w:gridCol w:w="4040"/>
        <w:gridCol w:w="2800"/>
      </w:tblGrid>
      <w:tr>
        <w:trPr>
          <w:cantSplit/>
          <w:tblHeader/>
        </w:trPr>
        <w:tc>
          <w:tcPr>
            <w:tcW w:w="1800" w:type="dxa"/>
            <w:shd w:val="clear" w:color="auto" w:fill="D9D9D9"/>
          </w:tcPr>
          <w:p>
            <w:pPr>
              <w:spacing w:after="0"/>
            </w:pPr>
            <w:r>
              <w:rPr>
                <w:rFonts w:ascii="Arial" w:hAnsi="Arial" w:cs="Arial"/>
                <w:b/>
                <w:bCs/>
                <w:i w:val="0"/>
                <w:iCs w:val="0"/>
                <w:color w:val="000000"/>
                <w:sz w:val="18"/>
                <w:szCs w:val="18"/>
              </w:rPr>
              <w:t xml:space="preserve">Metric</w:t>
            </w:r>
          </w:p>
        </w:tc>
        <w:tc>
          <w:tcPr>
            <w:tcW w:w="4040" w:type="dxa"/>
            <w:shd w:val="clear" w:color="auto" w:fill="D9D9D9"/>
          </w:tcPr>
          <w:p>
            <w:pPr>
              <w:spacing w:after="0"/>
            </w:pPr>
            <w:r>
              <w:rPr>
                <w:rFonts w:ascii="Arial" w:hAnsi="Arial" w:cs="Arial"/>
                <w:b/>
                <w:bCs/>
                <w:i w:val="0"/>
                <w:iCs w:val="0"/>
                <w:color w:val="000000"/>
                <w:sz w:val="18"/>
                <w:szCs w:val="18"/>
              </w:rPr>
              <w:t xml:space="preserve">Why it matters</w:t>
            </w:r>
          </w:p>
        </w:tc>
        <w:tc>
          <w:tcPr>
            <w:tcW w:w="2800" w:type="dxa"/>
            <w:shd w:val="clear" w:color="auto" w:fill="D9D9D9"/>
          </w:tcPr>
          <w:p>
            <w:pPr>
              <w:spacing w:after="0"/>
            </w:pPr>
            <w:r>
              <w:rPr>
                <w:rFonts w:ascii="Arial" w:hAnsi="Arial" w:cs="Arial"/>
                <w:b/>
                <w:bCs/>
                <w:i w:val="0"/>
                <w:iCs w:val="0"/>
                <w:color w:val="000000"/>
                <w:sz w:val="18"/>
                <w:szCs w:val="18"/>
              </w:rPr>
              <w:t xml:space="preserve">What to aim for</w:t>
            </w:r>
          </w:p>
        </w:tc>
      </w:tr>
      <w:tr>
        <w:trPr>
          <w:cantSplit/>
        </w:trPr>
        <w:tc>
          <w:tcPr>
            <w:tcW w:w="1800" w:type="dxa"/>
            <w:shd w:val="clear" w:color="auto" w:fill="F2F2F2"/>
          </w:tcPr>
          <w:p>
            <w:pPr>
              <w:spacing w:after="0"/>
            </w:pPr>
            <w:r>
              <w:rPr>
                <w:rFonts w:ascii="Arial" w:hAnsi="Arial" w:cs="Arial"/>
                <w:b/>
                <w:bCs/>
                <w:i w:val="0"/>
                <w:iCs w:val="0"/>
                <w:color w:val="000000"/>
                <w:sz w:val="18"/>
                <w:szCs w:val="18"/>
              </w:rPr>
              <w:t xml:space="preserve">Recall</w:t>
            </w:r>
          </w:p>
        </w:tc>
        <w:tc>
          <w:tcPr>
            <w:tcW w:w="4040" w:type="dxa"/>
          </w:tcPr>
          <w:p>
            <w:pPr>
              <w:spacing w:after="0"/>
            </w:pPr>
            <w:r>
              <w:rPr>
                <w:rFonts w:ascii="Arial" w:hAnsi="Arial" w:cs="Arial"/>
                <w:i w:val="0"/>
                <w:iCs w:val="0"/>
                <w:color w:val="000000"/>
                <w:sz w:val="18"/>
                <w:szCs w:val="18"/>
              </w:rPr>
              <w:t xml:space="preserve">Share of actual delinquents caught. The priority, since a missed delinquent is a direct loss.</w:t>
            </w:r>
          </w:p>
        </w:tc>
        <w:tc>
          <w:tcPr>
            <w:tcW w:w="2800" w:type="dxa"/>
          </w:tcPr>
          <w:p>
            <w:pPr>
              <w:spacing w:after="0"/>
            </w:pPr>
            <w:r>
              <w:rPr>
                <w:rFonts w:ascii="Arial" w:hAnsi="Arial" w:cs="Arial"/>
                <w:i w:val="0"/>
                <w:iCs w:val="0"/>
                <w:color w:val="000000"/>
                <w:sz w:val="18"/>
                <w:szCs w:val="18"/>
              </w:rPr>
              <w:t xml:space="preserve">About 0.70 or higher</w:t>
            </w:r>
          </w:p>
        </w:tc>
      </w:tr>
      <w:tr>
        <w:trPr>
          <w:cantSplit/>
        </w:trPr>
        <w:tc>
          <w:tcPr>
            <w:tcW w:w="1800" w:type="dxa"/>
            <w:shd w:val="clear" w:color="auto" w:fill="F2F2F2"/>
          </w:tcPr>
          <w:p>
            <w:pPr>
              <w:spacing w:after="0"/>
            </w:pPr>
            <w:r>
              <w:rPr>
                <w:rFonts w:ascii="Arial" w:hAnsi="Arial" w:cs="Arial"/>
                <w:b/>
                <w:bCs/>
                <w:i w:val="0"/>
                <w:iCs w:val="0"/>
                <w:color w:val="000000"/>
                <w:sz w:val="18"/>
                <w:szCs w:val="18"/>
              </w:rPr>
              <w:t xml:space="preserve">Precision</w:t>
            </w:r>
          </w:p>
        </w:tc>
        <w:tc>
          <w:tcPr>
            <w:tcW w:w="4040" w:type="dxa"/>
          </w:tcPr>
          <w:p>
            <w:pPr>
              <w:spacing w:after="0"/>
            </w:pPr>
            <w:r>
              <w:rPr>
                <w:rFonts w:ascii="Arial" w:hAnsi="Arial" w:cs="Arial"/>
                <w:i w:val="0"/>
                <w:iCs w:val="0"/>
                <w:color w:val="000000"/>
                <w:sz w:val="18"/>
                <w:szCs w:val="18"/>
              </w:rPr>
              <w:t xml:space="preserve">Share of flagged customers who are truly delinquent. Limits unnecessary interventions.</w:t>
            </w:r>
          </w:p>
        </w:tc>
        <w:tc>
          <w:tcPr>
            <w:tcW w:w="2800" w:type="dxa"/>
          </w:tcPr>
          <w:p>
            <w:pPr>
              <w:spacing w:after="0"/>
            </w:pPr>
            <w:r>
              <w:rPr>
                <w:rFonts w:ascii="Arial" w:hAnsi="Arial" w:cs="Arial"/>
                <w:i w:val="0"/>
                <w:iCs w:val="0"/>
                <w:color w:val="000000"/>
                <w:sz w:val="18"/>
                <w:szCs w:val="18"/>
              </w:rPr>
              <w:t xml:space="preserve">Clearly above 0.16 (random flagging)</w:t>
            </w:r>
          </w:p>
        </w:tc>
      </w:tr>
      <w:tr>
        <w:trPr>
          <w:cantSplit/>
        </w:trPr>
        <w:tc>
          <w:tcPr>
            <w:tcW w:w="1800" w:type="dxa"/>
            <w:shd w:val="clear" w:color="auto" w:fill="F2F2F2"/>
          </w:tcPr>
          <w:p>
            <w:pPr>
              <w:spacing w:after="0"/>
            </w:pPr>
            <w:r>
              <w:rPr>
                <w:rFonts w:ascii="Arial" w:hAnsi="Arial" w:cs="Arial"/>
                <w:b/>
                <w:bCs/>
                <w:i w:val="0"/>
                <w:iCs w:val="0"/>
                <w:color w:val="000000"/>
                <w:sz w:val="18"/>
                <w:szCs w:val="18"/>
              </w:rPr>
              <w:t xml:space="preserve">F1 score</w:t>
            </w:r>
          </w:p>
        </w:tc>
        <w:tc>
          <w:tcPr>
            <w:tcW w:w="4040" w:type="dxa"/>
          </w:tcPr>
          <w:p>
            <w:pPr>
              <w:spacing w:after="0"/>
            </w:pPr>
            <w:r>
              <w:rPr>
                <w:rFonts w:ascii="Arial" w:hAnsi="Arial" w:cs="Arial"/>
                <w:i w:val="0"/>
                <w:iCs w:val="0"/>
                <w:color w:val="000000"/>
                <w:sz w:val="18"/>
                <w:szCs w:val="18"/>
              </w:rPr>
              <w:t xml:space="preserve">Balances precision and recall.</w:t>
            </w:r>
          </w:p>
        </w:tc>
        <w:tc>
          <w:tcPr>
            <w:tcW w:w="2800" w:type="dxa"/>
          </w:tcPr>
          <w:p>
            <w:pPr>
              <w:spacing w:after="0"/>
            </w:pPr>
            <w:r>
              <w:rPr>
                <w:rFonts w:ascii="Arial" w:hAnsi="Arial" w:cs="Arial"/>
                <w:i w:val="0"/>
                <w:iCs w:val="0"/>
                <w:color w:val="000000"/>
                <w:sz w:val="18"/>
                <w:szCs w:val="18"/>
              </w:rPr>
              <w:t xml:space="preserve">Higher than the baseline models</w:t>
            </w:r>
          </w:p>
        </w:tc>
      </w:tr>
      <w:tr>
        <w:trPr>
          <w:cantSplit/>
        </w:trPr>
        <w:tc>
          <w:tcPr>
            <w:tcW w:w="1800" w:type="dxa"/>
            <w:shd w:val="clear" w:color="auto" w:fill="F2F2F2"/>
          </w:tcPr>
          <w:p>
            <w:pPr>
              <w:spacing w:after="0"/>
            </w:pPr>
            <w:r>
              <w:rPr>
                <w:rFonts w:ascii="Arial" w:hAnsi="Arial" w:cs="Arial"/>
                <w:b/>
                <w:bCs/>
                <w:i w:val="0"/>
                <w:iCs w:val="0"/>
                <w:color w:val="000000"/>
                <w:sz w:val="18"/>
                <w:szCs w:val="18"/>
              </w:rPr>
              <w:t xml:space="preserve">AUC-ROC</w:t>
            </w:r>
          </w:p>
        </w:tc>
        <w:tc>
          <w:tcPr>
            <w:tcW w:w="4040" w:type="dxa"/>
          </w:tcPr>
          <w:p>
            <w:pPr>
              <w:spacing w:after="0"/>
            </w:pPr>
            <w:r>
              <w:rPr>
                <w:rFonts w:ascii="Arial" w:hAnsi="Arial" w:cs="Arial"/>
                <w:i w:val="0"/>
                <w:iCs w:val="0"/>
                <w:color w:val="000000"/>
                <w:sz w:val="18"/>
                <w:szCs w:val="18"/>
              </w:rPr>
              <w:t xml:space="preserve">Ability to separate the classes across all thresholds.</w:t>
            </w:r>
          </w:p>
        </w:tc>
        <w:tc>
          <w:tcPr>
            <w:tcW w:w="2800" w:type="dxa"/>
          </w:tcPr>
          <w:p>
            <w:pPr>
              <w:spacing w:after="0"/>
            </w:pPr>
            <w:r>
              <w:rPr>
                <w:rFonts w:ascii="Arial" w:hAnsi="Arial" w:cs="Arial"/>
                <w:i w:val="0"/>
                <w:iCs w:val="0"/>
                <w:color w:val="000000"/>
                <w:sz w:val="18"/>
                <w:szCs w:val="18"/>
              </w:rPr>
              <w:t xml:space="preserve">Above 0.50 (random); 0.75+ desired</w:t>
            </w:r>
          </w:p>
        </w:tc>
      </w:tr>
      <w:tr>
        <w:trPr>
          <w:cantSplit/>
        </w:trPr>
        <w:tc>
          <w:tcPr>
            <w:tcW w:w="1800" w:type="dxa"/>
            <w:shd w:val="clear" w:color="auto" w:fill="F2F2F2"/>
          </w:tcPr>
          <w:p>
            <w:pPr>
              <w:spacing w:after="0"/>
            </w:pPr>
            <w:r>
              <w:rPr>
                <w:rFonts w:ascii="Arial" w:hAnsi="Arial" w:cs="Arial"/>
                <w:b/>
                <w:bCs/>
                <w:i w:val="0"/>
                <w:iCs w:val="0"/>
                <w:color w:val="000000"/>
                <w:sz w:val="18"/>
                <w:szCs w:val="18"/>
              </w:rPr>
              <w:t xml:space="preserve">AUC-PR</w:t>
            </w:r>
          </w:p>
        </w:tc>
        <w:tc>
          <w:tcPr>
            <w:tcW w:w="4040" w:type="dxa"/>
          </w:tcPr>
          <w:p>
            <w:pPr>
              <w:spacing w:after="0"/>
            </w:pPr>
            <w:r>
              <w:rPr>
                <w:rFonts w:ascii="Arial" w:hAnsi="Arial" w:cs="Arial"/>
                <w:i w:val="0"/>
                <w:iCs w:val="0"/>
                <w:color w:val="000000"/>
                <w:sz w:val="18"/>
                <w:szCs w:val="18"/>
              </w:rPr>
              <w:t xml:space="preserve">More informative than AUC-ROC when classes are imbalanced.</w:t>
            </w:r>
          </w:p>
        </w:tc>
        <w:tc>
          <w:tcPr>
            <w:tcW w:w="2800" w:type="dxa"/>
          </w:tcPr>
          <w:p>
            <w:pPr>
              <w:spacing w:after="0"/>
            </w:pPr>
            <w:r>
              <w:rPr>
                <w:rFonts w:ascii="Arial" w:hAnsi="Arial" w:cs="Arial"/>
                <w:i w:val="0"/>
                <w:iCs w:val="0"/>
                <w:color w:val="000000"/>
                <w:sz w:val="18"/>
                <w:szCs w:val="18"/>
              </w:rPr>
              <w:t xml:space="preserve">Clearly above 0.16 (the delinquency rate)</w:t>
            </w:r>
          </w:p>
        </w:tc>
      </w:tr>
    </w:tbl>
    <w:p>
      <w:pPr>
        <w:spacing w:after="60"/>
      </w:pPr>
    </w:p>
    <w:p>
      <w:pPr>
        <w:spacing w:after="120"/>
      </w:pPr>
      <w:r>
        <w:rPr>
          <w:rFonts w:ascii="Arial" w:hAnsi="Arial" w:cs="Arial"/>
          <w:b/>
          <w:bCs/>
          <w:i w:val="0"/>
          <w:iCs w:val="0"/>
          <w:color w:val="000000"/>
        </w:rPr>
        <w:t xml:space="preserve">Interpretation.</w:t>
      </w:r>
      <w:r>
        <w:rPr>
          <w:rFonts w:ascii="Arial" w:hAnsi="Arial" w:cs="Arial"/>
          <w:i w:val="0"/>
          <w:iCs w:val="0"/>
          <w:color w:val="000000"/>
        </w:rPr>
        <w:t xml:space="preserve"> Every result must be judged against a simple baseline. Randomly flagging customers gives a precision of 0.16 and an AUC-ROC of 0.50, so a useful model has to beat those. High recall with very low precision would mean the model just flags almost everyone. In a first 5-fold cross-validation check on this dataset, both logistic regression and the Random Forest scored an AUC-ROC of about 0.43 to 0.46, i.e. no better than chance. This suggests the current fields carry little signal, so before deployment Geldium should look for stronger inputs (e.g., payment trends over time or utilization history) rather than rely on this model’s output.</w:t>
      </w:r>
    </w:p>
    <w:p>
      <w:pPr>
        <w:spacing w:after="120"/>
      </w:pPr>
      <w:r>
        <w:rPr>
          <w:rFonts w:ascii="Arial" w:hAnsi="Arial" w:cs="Arial"/>
          <w:b/>
          <w:bCs/>
          <w:i w:val="0"/>
          <w:iCs w:val="0"/>
          <w:color w:val="000000"/>
        </w:rPr>
        <w:t xml:space="preserve">Validation and threshold tuning.</w:t>
      </w:r>
      <w:r>
        <w:rPr>
          <w:rFonts w:ascii="Arial" w:hAnsi="Arial" w:cs="Arial"/>
          <w:i w:val="0"/>
          <w:iCs w:val="0"/>
          <w:color w:val="000000"/>
        </w:rPr>
        <w:t xml:space="preserve"> With only 80 delinquent customers, one 20% test set contains about 16 of them and gives unstable results. I would use 5-fold stratified cross-validation, confusion matrices, and ROC and precision-recall curves. The threshold would be chosen from the cross-validated results to balance the cost of a missed delinquent against the cost of an unnecessary intervention.</w:t>
      </w:r>
    </w:p>
    <w:p>
      <w:pPr>
        <w:keepNext/>
        <w:spacing w:after="60"/>
      </w:pPr>
      <w:r>
        <w:rPr>
          <w:rFonts w:ascii="Arial" w:hAnsi="Arial" w:cs="Arial"/>
          <w:b/>
          <w:bCs/>
          <w:i w:val="0"/>
          <w:iCs w:val="0"/>
          <w:color w:val="000000"/>
        </w:rPr>
        <w:t xml:space="preserve">Detecting and reducing bias.</w:t>
      </w:r>
    </w:p>
    <w:p>
      <w:pPr>
        <w:numPr>
          <w:ilvl w:val="0"/>
          <w:numId w:val="20"/>
        </w:numPr>
        <w:spacing w:after="60"/>
      </w:pPr>
      <w:r>
        <w:rPr>
          <w:rFonts w:ascii="Arial" w:hAnsi="Arial" w:cs="Arial"/>
          <w:i w:val="0"/>
          <w:iCs w:val="0"/>
          <w:color w:val="000000"/>
        </w:rPr>
        <w:t xml:space="preserve">Compare recall, precision and flag rates across Employment_Status, Location, Credit_Card_Type and age bands. The raw data already shows differences in delinquency rates (e.g., Los Angeles 19.6% vs. New York 12.0%; Business cards 21.3% vs. Platinum 11.8%), so I would check that the model does not simply reproduce them unfairly.</w:t>
      </w:r>
    </w:p>
    <w:p>
      <w:pPr>
        <w:numPr>
          <w:ilvl w:val="0"/>
          <w:numId w:val="20"/>
        </w:numPr>
        <w:spacing w:after="60"/>
      </w:pPr>
      <w:r>
        <w:rPr>
          <w:rFonts w:ascii="Arial" w:hAnsi="Arial" w:cs="Arial"/>
          <w:i w:val="0"/>
          <w:iCs w:val="0"/>
          <w:color w:val="000000"/>
        </w:rPr>
        <w:t xml:space="preserve">Check whether Location or Age act as proxies for protected characteristics, and remove or down-weight them if they do.</w:t>
      </w:r>
    </w:p>
    <w:p>
      <w:pPr>
        <w:numPr>
          <w:ilvl w:val="0"/>
          <w:numId w:val="20"/>
        </w:numPr>
        <w:spacing w:after="60"/>
      </w:pPr>
      <w:r>
        <w:rPr>
          <w:rFonts w:ascii="Arial" w:hAnsi="Arial" w:cs="Arial"/>
          <w:i w:val="0"/>
          <w:iCs w:val="0"/>
          <w:color w:val="000000"/>
        </w:rPr>
        <w:t xml:space="preserve">Keep the delinquent share equal in the train and test sets with stratified splits, and use class weights rather than duplicating records.</w:t>
      </w:r>
    </w:p>
    <w:p>
      <w:pPr>
        <w:numPr>
          <w:ilvl w:val="0"/>
          <w:numId w:val="20"/>
        </w:numPr>
        <w:spacing w:after="60"/>
      </w:pPr>
      <w:r>
        <w:rPr>
          <w:rFonts w:ascii="Arial" w:hAnsi="Arial" w:cs="Arial"/>
          <w:i w:val="0"/>
          <w:iCs w:val="0"/>
          <w:color w:val="000000"/>
        </w:rPr>
        <w:t xml:space="preserve">If one group has clearly worse recall or a much higher false-positive rate, reassess the features and rebalance before using the model.</w:t>
      </w:r>
    </w:p>
    <w:p>
      <w:pPr>
        <w:keepNext/>
        <w:spacing w:after="60"/>
      </w:pPr>
      <w:r>
        <w:rPr>
          <w:rFonts w:ascii="Arial" w:hAnsi="Arial" w:cs="Arial"/>
          <w:b/>
          <w:bCs/>
          <w:i w:val="0"/>
          <w:iCs w:val="0"/>
          <w:color w:val="000000"/>
        </w:rPr>
        <w:t xml:space="preserve">Ethical considerations.</w:t>
      </w:r>
    </w:p>
    <w:p>
      <w:pPr>
        <w:numPr>
          <w:ilvl w:val="0"/>
          <w:numId w:val="20"/>
        </w:numPr>
        <w:spacing w:after="60"/>
      </w:pPr>
      <w:r>
        <w:rPr>
          <w:rFonts w:ascii="Arial" w:hAnsi="Arial" w:cs="Arial"/>
          <w:b/>
          <w:bCs/>
          <w:i w:val="0"/>
          <w:iCs w:val="0"/>
          <w:color w:val="000000"/>
        </w:rPr>
        <w:t xml:space="preserve">Fairness:</w:t>
      </w:r>
      <w:r>
        <w:rPr>
          <w:rFonts w:ascii="Arial" w:hAnsi="Arial" w:cs="Arial"/>
          <w:i w:val="0"/>
          <w:iCs w:val="0"/>
          <w:color w:val="000000"/>
        </w:rPr>
        <w:t xml:space="preserve"> protected attributes are not used directly, and the model is tested for disparate impact across groups.</w:t>
      </w:r>
    </w:p>
    <w:p>
      <w:pPr>
        <w:numPr>
          <w:ilvl w:val="0"/>
          <w:numId w:val="20"/>
        </w:numPr>
        <w:spacing w:after="60"/>
      </w:pPr>
      <w:r>
        <w:rPr>
          <w:rFonts w:ascii="Arial" w:hAnsi="Arial" w:cs="Arial"/>
          <w:b/>
          <w:bCs/>
          <w:i w:val="0"/>
          <w:iCs w:val="0"/>
          <w:color w:val="000000"/>
        </w:rPr>
        <w:t xml:space="preserve">Transparency:</w:t>
      </w:r>
      <w:r>
        <w:rPr>
          <w:rFonts w:ascii="Arial" w:hAnsi="Arial" w:cs="Arial"/>
          <w:i w:val="0"/>
          <w:iCs w:val="0"/>
          <w:color w:val="000000"/>
        </w:rPr>
        <w:t xml:space="preserve"> customers should know they are being scored, and Geldium should be able to explain a flag (e.g., high Debt_to_Income_Ratio).</w:t>
      </w:r>
    </w:p>
    <w:p>
      <w:pPr>
        <w:numPr>
          <w:ilvl w:val="0"/>
          <w:numId w:val="20"/>
        </w:numPr>
        <w:spacing w:after="60"/>
      </w:pPr>
      <w:r>
        <w:rPr>
          <w:rFonts w:ascii="Arial" w:hAnsi="Arial" w:cs="Arial"/>
          <w:b/>
          <w:bCs/>
          <w:i w:val="0"/>
          <w:iCs w:val="0"/>
          <w:color w:val="000000"/>
        </w:rPr>
        <w:t xml:space="preserve">Human oversight:</w:t>
      </w:r>
      <w:r>
        <w:rPr>
          <w:rFonts w:ascii="Arial" w:hAnsi="Arial" w:cs="Arial"/>
          <w:i w:val="0"/>
          <w:iCs w:val="0"/>
          <w:color w:val="000000"/>
        </w:rPr>
        <w:t xml:space="preserve"> the model supports decisions and does not make them. High-stakes actions such as credit denial need human review and a way for customers to appeal.</w:t>
      </w:r>
    </w:p>
    <w:p>
      <w:pPr>
        <w:numPr>
          <w:ilvl w:val="0"/>
          <w:numId w:val="20"/>
        </w:numPr>
        <w:spacing w:after="60"/>
      </w:pPr>
      <w:r>
        <w:rPr>
          <w:rFonts w:ascii="Arial" w:hAnsi="Arial" w:cs="Arial"/>
          <w:b/>
          <w:bCs/>
          <w:i w:val="0"/>
          <w:iCs w:val="0"/>
          <w:color w:val="000000"/>
        </w:rPr>
        <w:t xml:space="preserve">Harm avoidance:</w:t>
      </w:r>
      <w:r>
        <w:rPr>
          <w:rFonts w:ascii="Arial" w:hAnsi="Arial" w:cs="Arial"/>
          <w:i w:val="0"/>
          <w:iCs w:val="0"/>
          <w:color w:val="000000"/>
        </w:rPr>
        <w:t xml:space="preserve"> a false positive can cost a reliable customer credit or add charges, so early interventions should start with supportive steps such as reminders.</w:t>
      </w:r>
    </w:p>
    <w:p>
      <w:pPr>
        <w:numPr>
          <w:ilvl w:val="0"/>
          <w:numId w:val="20"/>
        </w:numPr>
        <w:spacing w:after="60"/>
      </w:pPr>
      <w:r>
        <w:rPr>
          <w:rFonts w:ascii="Arial" w:hAnsi="Arial" w:cs="Arial"/>
          <w:b/>
          <w:bCs/>
          <w:i w:val="0"/>
          <w:iCs w:val="0"/>
          <w:color w:val="000000"/>
        </w:rPr>
        <w:t xml:space="preserve">Privacy and consent:</w:t>
      </w:r>
      <w:r>
        <w:rPr>
          <w:rFonts w:ascii="Arial" w:hAnsi="Arial" w:cs="Arial"/>
          <w:i w:val="0"/>
          <w:iCs w:val="0"/>
          <w:color w:val="000000"/>
        </w:rPr>
        <w:t xml:space="preserve"> customer data should be stored securely and used in line with consent and regulations.</w:t>
      </w: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93FDF" w14:textId="77777777" w:rsidR="00E31114" w:rsidRDefault="00E31114" w:rsidP="00E31114">
      <w:pPr>
        <w:spacing w:after="0" w:line="240" w:lineRule="auto"/>
      </w:pPr>
      <w:r>
        <w:separator/>
      </w:r>
    </w:p>
  </w:endnote>
  <w:endnote w:type="continuationSeparator" w:id="0">
    <w:p w14:paraId="45D9DEED" w14:textId="77777777" w:rsidR="00E31114" w:rsidRDefault="00E31114"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222F" w14:textId="77777777" w:rsidR="00E31114" w:rsidRDefault="00E31114" w:rsidP="00E31114">
      <w:pPr>
        <w:spacing w:after="0" w:line="240" w:lineRule="auto"/>
      </w:pPr>
      <w:r>
        <w:separator/>
      </w:r>
    </w:p>
  </w:footnote>
  <w:footnote w:type="continuationSeparator" w:id="0">
    <w:p w14:paraId="5357F110" w14:textId="77777777" w:rsidR="00E31114" w:rsidRDefault="00E31114"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0">
    <w:multiLevelType w:val="hybridMultilevel"/>
    <w:lvl w:ilvl="0">
      <w:start w:val="1"/>
      <w:numFmt w:val="bullet"/>
      <w:lvlText w:val="•"/>
      <w:lvlJc w:val="left"/>
      <w:pPr>
        <w:ind w:left="720" w:hanging="360"/>
      </w:pPr>
      <w:rPr>
        <w:rFonts w:ascii="Arial" w:hAnsi="Arial" w:cs="Arial"/>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529"/>
    <w:rsid w:val="008237CA"/>
    <w:rsid w:val="00AA1D8D"/>
    <w:rsid w:val="00B47730"/>
    <w:rsid w:val="00CB0664"/>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Tammy</cp:lastModifiedBy>
  <cp:revision>2</cp:revision>
  <dcterms:created xsi:type="dcterms:W3CDTF">2013-12-23T23:15:00Z</dcterms:created>
  <dcterms:modified xsi:type="dcterms:W3CDTF">2025-03-21T17:26:00Z</dcterms:modified>
  <cp:category/>
</cp:coreProperties>
</file>