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00C" w14:textId="77777777" w:rsidR="005D6C41" w:rsidRPr="00D273B9" w:rsidRDefault="00376DBC" w:rsidP="00C01A4B">
      <w:pPr>
        <w:ind w:left="0" w:hanging="2"/>
        <w:rPr>
          <w:rFonts w:eastAsia="Calibri"/>
          <w:sz w:val="22"/>
          <w:szCs w:val="22"/>
          <w:lang w:val="en-US"/>
        </w:rPr>
      </w:pPr>
      <w:r w:rsidRPr="00D273B9">
        <w:rPr>
          <w:rFonts w:eastAsia="Calibri"/>
          <w:sz w:val="22"/>
          <w:szCs w:val="22"/>
          <w:lang w:val="en-US"/>
        </w:rPr>
        <w:t>Name: _________________</w:t>
      </w:r>
      <w:r w:rsidR="00C01A4B" w:rsidRPr="00D273B9">
        <w:rPr>
          <w:rFonts w:eastAsia="Calibri"/>
          <w:sz w:val="22"/>
          <w:szCs w:val="22"/>
          <w:lang w:val="en-US"/>
        </w:rPr>
        <w:t>____</w:t>
      </w:r>
      <w:r w:rsidRPr="00D273B9">
        <w:rPr>
          <w:rFonts w:eastAsia="Calibri"/>
          <w:sz w:val="22"/>
          <w:szCs w:val="22"/>
          <w:lang w:val="en-US"/>
        </w:rPr>
        <w:t xml:space="preserve"> </w:t>
      </w:r>
    </w:p>
    <w:p w14:paraId="5620867F" w14:textId="77777777" w:rsidR="005D6C41" w:rsidRPr="00D273B9" w:rsidRDefault="005D6C41">
      <w:pPr>
        <w:rPr>
          <w:rFonts w:eastAsia="Calibri"/>
          <w:sz w:val="10"/>
          <w:szCs w:val="10"/>
          <w:lang w:val="en-US"/>
        </w:rPr>
      </w:pPr>
    </w:p>
    <w:p w14:paraId="38D4A3AF" w14:textId="1507CF9E" w:rsidR="005D6C41" w:rsidRPr="00D273B9" w:rsidRDefault="00376DBC">
      <w:pPr>
        <w:ind w:left="2" w:hanging="4"/>
        <w:jc w:val="center"/>
        <w:rPr>
          <w:rFonts w:eastAsia="Calibri"/>
          <w:b/>
          <w:color w:val="FF0000"/>
          <w:sz w:val="36"/>
          <w:szCs w:val="36"/>
          <w:lang w:val="en-US"/>
        </w:rPr>
      </w:pPr>
      <w:r w:rsidRPr="00D273B9">
        <w:rPr>
          <w:rFonts w:eastAsia="Calibri"/>
          <w:b/>
          <w:sz w:val="36"/>
          <w:szCs w:val="36"/>
          <w:lang w:val="en-US"/>
        </w:rPr>
        <w:t>ACWR 106</w:t>
      </w:r>
      <w:r w:rsidR="00C01A4B" w:rsidRPr="00D273B9">
        <w:rPr>
          <w:rFonts w:eastAsia="Calibri"/>
          <w:b/>
          <w:sz w:val="36"/>
          <w:szCs w:val="36"/>
          <w:lang w:val="en-US"/>
        </w:rPr>
        <w:t xml:space="preserve"> – </w:t>
      </w:r>
      <w:r w:rsidR="00D273B9">
        <w:rPr>
          <w:rFonts w:eastAsia="Calibri"/>
          <w:b/>
          <w:sz w:val="36"/>
          <w:szCs w:val="36"/>
          <w:lang w:val="en-US"/>
        </w:rPr>
        <w:t>Summer</w:t>
      </w:r>
      <w:r w:rsidR="00C01A4B" w:rsidRPr="00D273B9">
        <w:rPr>
          <w:rFonts w:eastAsia="Calibri"/>
          <w:b/>
          <w:sz w:val="36"/>
          <w:szCs w:val="36"/>
          <w:lang w:val="en-US"/>
        </w:rPr>
        <w:t xml:space="preserve"> 2020</w:t>
      </w:r>
    </w:p>
    <w:p w14:paraId="42B8C687" w14:textId="77777777" w:rsidR="000F66B6" w:rsidRDefault="00D273B9">
      <w:pPr>
        <w:ind w:left="2" w:hanging="4"/>
        <w:jc w:val="center"/>
        <w:rPr>
          <w:rFonts w:eastAsia="Calibri"/>
          <w:b/>
          <w:sz w:val="36"/>
          <w:szCs w:val="36"/>
          <w:lang w:val="en-US"/>
        </w:rPr>
      </w:pPr>
      <w:r>
        <w:rPr>
          <w:rFonts w:eastAsia="Calibri"/>
          <w:b/>
          <w:sz w:val="36"/>
          <w:szCs w:val="36"/>
          <w:lang w:val="en-US"/>
        </w:rPr>
        <w:t xml:space="preserve">Extended </w:t>
      </w:r>
      <w:r w:rsidR="00376DBC" w:rsidRPr="00D273B9">
        <w:rPr>
          <w:rFonts w:eastAsia="Calibri"/>
          <w:b/>
          <w:sz w:val="36"/>
          <w:szCs w:val="36"/>
          <w:lang w:val="en-US"/>
        </w:rPr>
        <w:t xml:space="preserve">Definition </w:t>
      </w:r>
      <w:r>
        <w:rPr>
          <w:rFonts w:eastAsia="Calibri"/>
          <w:b/>
          <w:sz w:val="36"/>
          <w:szCs w:val="36"/>
          <w:lang w:val="en-US"/>
        </w:rPr>
        <w:t>Assignment</w:t>
      </w:r>
    </w:p>
    <w:p w14:paraId="5098397B" w14:textId="4124FADD" w:rsidR="005D6C41" w:rsidRPr="00D273B9" w:rsidRDefault="00C01A4B">
      <w:pPr>
        <w:ind w:left="2" w:hanging="4"/>
        <w:jc w:val="center"/>
        <w:rPr>
          <w:rFonts w:eastAsia="Calibri"/>
          <w:sz w:val="36"/>
          <w:szCs w:val="36"/>
          <w:lang w:val="en-US"/>
        </w:rPr>
      </w:pPr>
      <w:bookmarkStart w:id="0" w:name="_GoBack"/>
      <w:bookmarkEnd w:id="0"/>
      <w:r w:rsidRPr="00D273B9">
        <w:rPr>
          <w:rFonts w:eastAsia="Calibri"/>
          <w:b/>
          <w:sz w:val="36"/>
          <w:szCs w:val="36"/>
          <w:lang w:val="en-US"/>
        </w:rPr>
        <w:t xml:space="preserve">Grading </w:t>
      </w:r>
      <w:r w:rsidR="00376DBC" w:rsidRPr="00D273B9">
        <w:rPr>
          <w:rFonts w:eastAsia="Calibri"/>
          <w:b/>
          <w:sz w:val="36"/>
          <w:szCs w:val="36"/>
          <w:lang w:val="en-US"/>
        </w:rPr>
        <w:t>Rubric</w:t>
      </w:r>
    </w:p>
    <w:p w14:paraId="7AE1F367" w14:textId="77777777" w:rsidR="005D6C41" w:rsidRPr="00D273B9" w:rsidRDefault="00376DBC">
      <w:pPr>
        <w:ind w:left="0" w:hanging="2"/>
        <w:rPr>
          <w:rFonts w:eastAsia="Calibri"/>
          <w:lang w:val="en-US"/>
        </w:rPr>
      </w:pPr>
      <w:r w:rsidRPr="00D273B9">
        <w:rPr>
          <w:rFonts w:eastAsia="Calibri"/>
          <w:lang w:val="en-US"/>
        </w:rPr>
        <w:tab/>
      </w:r>
    </w:p>
    <w:tbl>
      <w:tblPr>
        <w:tblStyle w:val="a"/>
        <w:tblW w:w="85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40"/>
        <w:gridCol w:w="1095"/>
      </w:tblGrid>
      <w:tr w:rsidR="005D6C41" w:rsidRPr="00D273B9" w14:paraId="4ADE73B7" w14:textId="77777777">
        <w:trPr>
          <w:jc w:val="center"/>
        </w:trPr>
        <w:tc>
          <w:tcPr>
            <w:tcW w:w="7440" w:type="dxa"/>
            <w:shd w:val="clear" w:color="auto" w:fill="003300"/>
          </w:tcPr>
          <w:p w14:paraId="4943C0CF" w14:textId="77777777" w:rsidR="005D6C41" w:rsidRPr="00D273B9" w:rsidRDefault="00376DBC">
            <w:pPr>
              <w:ind w:left="0" w:hanging="2"/>
              <w:rPr>
                <w:rFonts w:eastAsia="Calibri"/>
                <w:color w:val="FFFFFF"/>
                <w:lang w:val="en-US"/>
              </w:rPr>
            </w:pPr>
            <w:r w:rsidRPr="00D273B9">
              <w:rPr>
                <w:rFonts w:eastAsia="Calibri"/>
                <w:color w:val="FFFFFF"/>
                <w:lang w:val="en-US"/>
              </w:rPr>
              <w:t>Content</w:t>
            </w:r>
          </w:p>
        </w:tc>
        <w:tc>
          <w:tcPr>
            <w:tcW w:w="1095" w:type="dxa"/>
            <w:shd w:val="clear" w:color="auto" w:fill="003300"/>
          </w:tcPr>
          <w:p w14:paraId="4748B1EC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color w:val="FFFFFF"/>
                <w:sz w:val="20"/>
                <w:szCs w:val="20"/>
                <w:lang w:val="en-US"/>
              </w:rPr>
            </w:pPr>
          </w:p>
        </w:tc>
      </w:tr>
      <w:tr w:rsidR="00C01A4B" w:rsidRPr="00D273B9" w14:paraId="672F2CD9" w14:textId="77777777">
        <w:trPr>
          <w:jc w:val="center"/>
        </w:trPr>
        <w:tc>
          <w:tcPr>
            <w:tcW w:w="7440" w:type="dxa"/>
          </w:tcPr>
          <w:p w14:paraId="530A0A2C" w14:textId="77777777" w:rsidR="00C01A4B" w:rsidRPr="00D273B9" w:rsidRDefault="002038E3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The paper</w:t>
            </w:r>
          </w:p>
        </w:tc>
        <w:tc>
          <w:tcPr>
            <w:tcW w:w="1095" w:type="dxa"/>
          </w:tcPr>
          <w:p w14:paraId="433519E5" w14:textId="77777777" w:rsidR="00C01A4B" w:rsidRPr="00D273B9" w:rsidRDefault="00C01A4B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1E6787DA" w14:textId="77777777">
        <w:trPr>
          <w:jc w:val="center"/>
        </w:trPr>
        <w:tc>
          <w:tcPr>
            <w:tcW w:w="7440" w:type="dxa"/>
          </w:tcPr>
          <w:p w14:paraId="17D865B0" w14:textId="77777777" w:rsidR="005D6C41" w:rsidRPr="00D273B9" w:rsidRDefault="00C01A4B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clearly identifies a term that is suitable for a definition paper of this length</w:t>
            </w:r>
          </w:p>
        </w:tc>
        <w:tc>
          <w:tcPr>
            <w:tcW w:w="1095" w:type="dxa"/>
          </w:tcPr>
          <w:p w14:paraId="63C1D725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32DEA17D" w14:textId="77777777">
        <w:trPr>
          <w:jc w:val="center"/>
        </w:trPr>
        <w:tc>
          <w:tcPr>
            <w:tcW w:w="7440" w:type="dxa"/>
          </w:tcPr>
          <w:p w14:paraId="04D36EC5" w14:textId="77777777" w:rsidR="005D6C41" w:rsidRPr="00D273B9" w:rsidRDefault="00C01A4B">
            <w:pPr>
              <w:tabs>
                <w:tab w:val="left" w:pos="5115"/>
              </w:tabs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suitably classifies the term</w:t>
            </w:r>
          </w:p>
        </w:tc>
        <w:tc>
          <w:tcPr>
            <w:tcW w:w="1095" w:type="dxa"/>
          </w:tcPr>
          <w:p w14:paraId="3E4D345D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50C0DEE0" w14:textId="77777777">
        <w:trPr>
          <w:jc w:val="center"/>
        </w:trPr>
        <w:tc>
          <w:tcPr>
            <w:tcW w:w="7440" w:type="dxa"/>
          </w:tcPr>
          <w:p w14:paraId="21E5F9C0" w14:textId="77777777" w:rsidR="005D6C41" w:rsidRPr="00D273B9" w:rsidRDefault="00C01A4B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suitably distinguishes the term from others</w:t>
            </w:r>
          </w:p>
        </w:tc>
        <w:tc>
          <w:tcPr>
            <w:tcW w:w="1095" w:type="dxa"/>
          </w:tcPr>
          <w:p w14:paraId="0EAAFD37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61A263D9" w14:textId="77777777">
        <w:trPr>
          <w:jc w:val="center"/>
        </w:trPr>
        <w:tc>
          <w:tcPr>
            <w:tcW w:w="7440" w:type="dxa"/>
          </w:tcPr>
          <w:p w14:paraId="1233248C" w14:textId="77777777" w:rsidR="005D6C41" w:rsidRPr="00D273B9" w:rsidRDefault="00C01A4B">
            <w:pPr>
              <w:tabs>
                <w:tab w:val="left" w:pos="5115"/>
              </w:tabs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appropriate for a non-technical, non-expert audience</w:t>
            </w:r>
          </w:p>
        </w:tc>
        <w:tc>
          <w:tcPr>
            <w:tcW w:w="1095" w:type="dxa"/>
          </w:tcPr>
          <w:p w14:paraId="4F0DDB49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58B8B6C8" w14:textId="77777777">
        <w:trPr>
          <w:jc w:val="center"/>
        </w:trPr>
        <w:tc>
          <w:tcPr>
            <w:tcW w:w="7440" w:type="dxa"/>
          </w:tcPr>
          <w:p w14:paraId="2DDD5DFD" w14:textId="77777777" w:rsidR="005D6C41" w:rsidRPr="00D273B9" w:rsidRDefault="00C01A4B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uses a suitable variety of different definition strategies</w:t>
            </w:r>
          </w:p>
        </w:tc>
        <w:tc>
          <w:tcPr>
            <w:tcW w:w="1095" w:type="dxa"/>
          </w:tcPr>
          <w:p w14:paraId="206B8ACE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296D97DB" w14:textId="77777777">
        <w:trPr>
          <w:jc w:val="center"/>
        </w:trPr>
        <w:tc>
          <w:tcPr>
            <w:tcW w:w="7440" w:type="dxa"/>
          </w:tcPr>
          <w:p w14:paraId="41490E78" w14:textId="77777777" w:rsidR="005D6C41" w:rsidRPr="00D273B9" w:rsidRDefault="00C01A4B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contains relevant details to extend the definition</w:t>
            </w:r>
          </w:p>
        </w:tc>
        <w:tc>
          <w:tcPr>
            <w:tcW w:w="1095" w:type="dxa"/>
          </w:tcPr>
          <w:p w14:paraId="2ABCD614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339A693B" w14:textId="77777777">
        <w:trPr>
          <w:jc w:val="center"/>
        </w:trPr>
        <w:tc>
          <w:tcPr>
            <w:tcW w:w="7440" w:type="dxa"/>
          </w:tcPr>
          <w:p w14:paraId="6C67772F" w14:textId="77777777" w:rsidR="005D6C41" w:rsidRPr="00D273B9" w:rsidRDefault="00C01A4B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….</w:t>
            </w:r>
            <w:r w:rsidR="00376DBC" w:rsidRPr="00D273B9">
              <w:rPr>
                <w:rFonts w:eastAsia="Calibri"/>
                <w:sz w:val="20"/>
                <w:szCs w:val="20"/>
                <w:lang w:val="en-US"/>
              </w:rPr>
              <w:t>appropriately cites borrowed information</w:t>
            </w:r>
          </w:p>
        </w:tc>
        <w:tc>
          <w:tcPr>
            <w:tcW w:w="1095" w:type="dxa"/>
          </w:tcPr>
          <w:p w14:paraId="585442FB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66606D0D" w14:textId="77777777">
        <w:trPr>
          <w:jc w:val="center"/>
        </w:trPr>
        <w:tc>
          <w:tcPr>
            <w:tcW w:w="7440" w:type="dxa"/>
            <w:tcBorders>
              <w:bottom w:val="single" w:sz="4" w:space="0" w:color="000000"/>
            </w:tcBorders>
          </w:tcPr>
          <w:p w14:paraId="45C3D24D" w14:textId="77777777" w:rsidR="005D6C41" w:rsidRPr="00D273B9" w:rsidRDefault="00376DBC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b/>
                <w:sz w:val="20"/>
                <w:szCs w:val="20"/>
                <w:lang w:val="en-US"/>
              </w:rPr>
              <w:t xml:space="preserve">Comments: </w:t>
            </w:r>
          </w:p>
          <w:p w14:paraId="0467B3F6" w14:textId="77777777" w:rsidR="005D6C41" w:rsidRPr="00D273B9" w:rsidRDefault="005D6C41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196F8BA2" w14:textId="77777777" w:rsidR="00C01A4B" w:rsidRPr="00D273B9" w:rsidRDefault="00C01A4B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674C8038" w14:textId="77777777" w:rsidR="00C01A4B" w:rsidRPr="00D273B9" w:rsidRDefault="00C01A4B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7CDFD149" w14:textId="77777777" w:rsidR="005D6C41" w:rsidRPr="00D273B9" w:rsidRDefault="005D6C41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316CE1C5" w14:textId="77777777" w:rsidR="005D6C41" w:rsidRPr="00D273B9" w:rsidRDefault="005D6C41">
            <w:pPr>
              <w:ind w:left="0" w:hanging="2"/>
              <w:jc w:val="right"/>
              <w:rPr>
                <w:rFonts w:eastAsia="Calibri"/>
                <w:sz w:val="20"/>
                <w:szCs w:val="20"/>
                <w:lang w:val="en-US"/>
              </w:rPr>
            </w:pP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391E0CF9" w14:textId="77777777" w:rsidR="005D6C41" w:rsidRPr="00D273B9" w:rsidRDefault="005D6C41">
            <w:pPr>
              <w:ind w:left="2" w:hanging="4"/>
              <w:jc w:val="right"/>
              <w:rPr>
                <w:rFonts w:eastAsia="Calibri"/>
                <w:sz w:val="36"/>
                <w:szCs w:val="36"/>
                <w:lang w:val="en-US"/>
              </w:rPr>
            </w:pPr>
          </w:p>
          <w:p w14:paraId="50E46E18" w14:textId="77777777" w:rsidR="005D6C41" w:rsidRPr="00D273B9" w:rsidRDefault="00376DBC">
            <w:pPr>
              <w:ind w:left="2" w:hanging="4"/>
              <w:jc w:val="right"/>
              <w:rPr>
                <w:rFonts w:eastAsia="Calibri"/>
                <w:sz w:val="36"/>
                <w:szCs w:val="36"/>
                <w:lang w:val="en-US"/>
              </w:rPr>
            </w:pPr>
            <w:r w:rsidRPr="00D273B9">
              <w:rPr>
                <w:rFonts w:eastAsia="Calibri"/>
                <w:sz w:val="36"/>
                <w:szCs w:val="36"/>
                <w:lang w:val="en-US"/>
              </w:rPr>
              <w:t>/50</w:t>
            </w:r>
          </w:p>
        </w:tc>
      </w:tr>
    </w:tbl>
    <w:p w14:paraId="1C447FDD" w14:textId="77777777" w:rsidR="005D6C41" w:rsidRPr="00D273B9" w:rsidRDefault="005D6C41">
      <w:pPr>
        <w:ind w:left="0" w:hanging="2"/>
        <w:rPr>
          <w:rFonts w:eastAsia="Calibri"/>
          <w:lang w:val="en-US"/>
        </w:rPr>
      </w:pPr>
    </w:p>
    <w:tbl>
      <w:tblPr>
        <w:tblStyle w:val="a0"/>
        <w:tblW w:w="8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95"/>
        <w:gridCol w:w="1200"/>
      </w:tblGrid>
      <w:tr w:rsidR="005D6C41" w:rsidRPr="00D273B9" w14:paraId="4E2DAE95" w14:textId="77777777">
        <w:trPr>
          <w:jc w:val="center"/>
        </w:trPr>
        <w:tc>
          <w:tcPr>
            <w:tcW w:w="7395" w:type="dxa"/>
            <w:shd w:val="clear" w:color="auto" w:fill="003300"/>
          </w:tcPr>
          <w:p w14:paraId="0AEA0998" w14:textId="77777777" w:rsidR="005D6C41" w:rsidRPr="00D273B9" w:rsidRDefault="00376DBC">
            <w:pPr>
              <w:ind w:left="0" w:hanging="2"/>
              <w:rPr>
                <w:rFonts w:eastAsia="Calibri"/>
                <w:color w:val="FFFFFF"/>
                <w:lang w:val="en-US"/>
              </w:rPr>
            </w:pPr>
            <w:r w:rsidRPr="00D273B9">
              <w:rPr>
                <w:rFonts w:eastAsia="Calibri"/>
                <w:color w:val="FFFFFF"/>
                <w:lang w:val="en-US"/>
              </w:rPr>
              <w:t>Organization</w:t>
            </w:r>
          </w:p>
        </w:tc>
        <w:tc>
          <w:tcPr>
            <w:tcW w:w="1200" w:type="dxa"/>
            <w:shd w:val="clear" w:color="auto" w:fill="003300"/>
          </w:tcPr>
          <w:p w14:paraId="4F7ECA8F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46496986" w14:textId="77777777">
        <w:trPr>
          <w:jc w:val="center"/>
        </w:trPr>
        <w:tc>
          <w:tcPr>
            <w:tcW w:w="7395" w:type="dxa"/>
          </w:tcPr>
          <w:p w14:paraId="498F73C7" w14:textId="77777777" w:rsidR="005D6C41" w:rsidRPr="00D273B9" w:rsidRDefault="00376DBC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 xml:space="preserve">The paper makes effective use of sentence-level organizational strategies. </w:t>
            </w:r>
          </w:p>
        </w:tc>
        <w:tc>
          <w:tcPr>
            <w:tcW w:w="1200" w:type="dxa"/>
          </w:tcPr>
          <w:p w14:paraId="1F59777B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5B5EC6DB" w14:textId="77777777">
        <w:trPr>
          <w:jc w:val="center"/>
        </w:trPr>
        <w:tc>
          <w:tcPr>
            <w:tcW w:w="7395" w:type="dxa"/>
          </w:tcPr>
          <w:p w14:paraId="09620A3B" w14:textId="77777777" w:rsidR="005D6C41" w:rsidRPr="00D273B9" w:rsidRDefault="00376DBC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Paragraphs are divided in ways that support the content.</w:t>
            </w:r>
          </w:p>
        </w:tc>
        <w:tc>
          <w:tcPr>
            <w:tcW w:w="1200" w:type="dxa"/>
          </w:tcPr>
          <w:p w14:paraId="112F3707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1609D13C" w14:textId="77777777">
        <w:trPr>
          <w:trHeight w:val="360"/>
          <w:jc w:val="center"/>
        </w:trPr>
        <w:tc>
          <w:tcPr>
            <w:tcW w:w="7395" w:type="dxa"/>
            <w:tcBorders>
              <w:bottom w:val="single" w:sz="4" w:space="0" w:color="000000"/>
            </w:tcBorders>
          </w:tcPr>
          <w:p w14:paraId="5DFFAC0E" w14:textId="77777777" w:rsidR="005D6C41" w:rsidRPr="00D273B9" w:rsidRDefault="00376DBC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b/>
                <w:sz w:val="20"/>
                <w:szCs w:val="20"/>
                <w:lang w:val="en-US"/>
              </w:rPr>
              <w:t xml:space="preserve">Comments: </w:t>
            </w:r>
          </w:p>
          <w:p w14:paraId="34786F87" w14:textId="77777777" w:rsidR="005D6C41" w:rsidRPr="00D273B9" w:rsidRDefault="005D6C41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0B5B4ABD" w14:textId="77777777" w:rsidR="005D6C41" w:rsidRPr="00D273B9" w:rsidRDefault="005D6C41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484EED15" w14:textId="77777777" w:rsidR="00C01A4B" w:rsidRPr="00D273B9" w:rsidRDefault="00C01A4B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16EA0FDB" w14:textId="77777777" w:rsidR="00C01A4B" w:rsidRPr="00D273B9" w:rsidRDefault="00C01A4B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2C6EF424" w14:textId="77777777" w:rsidR="005D6C41" w:rsidRPr="00D273B9" w:rsidRDefault="005D6C41">
            <w:pPr>
              <w:ind w:left="0" w:hanging="2"/>
              <w:jc w:val="right"/>
              <w:rPr>
                <w:rFonts w:eastAsia="Calibri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 w14:paraId="3798C9AB" w14:textId="77777777" w:rsidR="005D6C41" w:rsidRPr="00D273B9" w:rsidRDefault="005D6C41">
            <w:pPr>
              <w:ind w:left="2" w:hanging="4"/>
              <w:jc w:val="right"/>
              <w:rPr>
                <w:rFonts w:eastAsia="Calibri"/>
                <w:sz w:val="36"/>
                <w:szCs w:val="36"/>
                <w:lang w:val="en-US"/>
              </w:rPr>
            </w:pPr>
          </w:p>
          <w:p w14:paraId="7B7D6E9F" w14:textId="77777777" w:rsidR="005D6C41" w:rsidRPr="00D273B9" w:rsidRDefault="00376DBC">
            <w:pPr>
              <w:ind w:left="2" w:hanging="4"/>
              <w:jc w:val="right"/>
              <w:rPr>
                <w:rFonts w:eastAsia="Calibri"/>
                <w:sz w:val="36"/>
                <w:szCs w:val="36"/>
                <w:lang w:val="en-US"/>
              </w:rPr>
            </w:pPr>
            <w:r w:rsidRPr="00D273B9">
              <w:rPr>
                <w:rFonts w:eastAsia="Calibri"/>
                <w:sz w:val="36"/>
                <w:szCs w:val="36"/>
                <w:lang w:val="en-US"/>
              </w:rPr>
              <w:t>/20</w:t>
            </w:r>
          </w:p>
        </w:tc>
      </w:tr>
    </w:tbl>
    <w:p w14:paraId="11ACADDC" w14:textId="77777777" w:rsidR="005D6C41" w:rsidRPr="00D273B9" w:rsidRDefault="005D6C41">
      <w:pPr>
        <w:ind w:left="0" w:hanging="2"/>
        <w:rPr>
          <w:rFonts w:eastAsia="Calibri"/>
          <w:lang w:val="en-US"/>
        </w:rPr>
      </w:pPr>
    </w:p>
    <w:tbl>
      <w:tblPr>
        <w:tblStyle w:val="a1"/>
        <w:tblW w:w="8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25"/>
        <w:gridCol w:w="855"/>
      </w:tblGrid>
      <w:tr w:rsidR="005D6C41" w:rsidRPr="00D273B9" w14:paraId="73E62D24" w14:textId="77777777">
        <w:trPr>
          <w:jc w:val="center"/>
        </w:trPr>
        <w:tc>
          <w:tcPr>
            <w:tcW w:w="7725" w:type="dxa"/>
            <w:shd w:val="clear" w:color="auto" w:fill="003300"/>
          </w:tcPr>
          <w:p w14:paraId="28969A34" w14:textId="77777777" w:rsidR="005D6C41" w:rsidRPr="00D273B9" w:rsidRDefault="00376DBC">
            <w:pPr>
              <w:ind w:left="0" w:hanging="2"/>
              <w:rPr>
                <w:rFonts w:eastAsia="Calibri"/>
                <w:color w:val="FFFFFF"/>
                <w:lang w:val="en-US"/>
              </w:rPr>
            </w:pPr>
            <w:r w:rsidRPr="00D273B9">
              <w:rPr>
                <w:rFonts w:eastAsia="Calibri"/>
                <w:color w:val="FFFFFF"/>
                <w:lang w:val="en-US"/>
              </w:rPr>
              <w:t>Language</w:t>
            </w:r>
          </w:p>
        </w:tc>
        <w:tc>
          <w:tcPr>
            <w:tcW w:w="855" w:type="dxa"/>
            <w:shd w:val="clear" w:color="auto" w:fill="003300"/>
          </w:tcPr>
          <w:p w14:paraId="34A68918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29845D15" w14:textId="77777777">
        <w:trPr>
          <w:jc w:val="center"/>
        </w:trPr>
        <w:tc>
          <w:tcPr>
            <w:tcW w:w="7725" w:type="dxa"/>
          </w:tcPr>
          <w:p w14:paraId="605EAC99" w14:textId="77777777" w:rsidR="005D6C41" w:rsidRPr="00D273B9" w:rsidRDefault="00376DBC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The level of language used is appropriate for the task.</w:t>
            </w:r>
          </w:p>
        </w:tc>
        <w:tc>
          <w:tcPr>
            <w:tcW w:w="855" w:type="dxa"/>
          </w:tcPr>
          <w:p w14:paraId="2B10406D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0E1A271D" w14:textId="77777777">
        <w:trPr>
          <w:jc w:val="center"/>
        </w:trPr>
        <w:tc>
          <w:tcPr>
            <w:tcW w:w="7725" w:type="dxa"/>
          </w:tcPr>
          <w:p w14:paraId="55F3AD0B" w14:textId="77777777" w:rsidR="005D6C41" w:rsidRPr="00D273B9" w:rsidRDefault="00376DBC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Vocabulary is precise and accurate.</w:t>
            </w:r>
          </w:p>
        </w:tc>
        <w:tc>
          <w:tcPr>
            <w:tcW w:w="855" w:type="dxa"/>
          </w:tcPr>
          <w:p w14:paraId="0042649A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30C83390" w14:textId="77777777">
        <w:trPr>
          <w:jc w:val="center"/>
        </w:trPr>
        <w:tc>
          <w:tcPr>
            <w:tcW w:w="7725" w:type="dxa"/>
          </w:tcPr>
          <w:p w14:paraId="1C5B3BBC" w14:textId="77777777" w:rsidR="005D6C41" w:rsidRPr="00D273B9" w:rsidRDefault="00376DBC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>The grammar/syntax is varied and accurate.</w:t>
            </w:r>
          </w:p>
        </w:tc>
        <w:tc>
          <w:tcPr>
            <w:tcW w:w="855" w:type="dxa"/>
          </w:tcPr>
          <w:p w14:paraId="730F65FB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587B5CD5" w14:textId="77777777">
        <w:trPr>
          <w:jc w:val="center"/>
        </w:trPr>
        <w:tc>
          <w:tcPr>
            <w:tcW w:w="7725" w:type="dxa"/>
          </w:tcPr>
          <w:p w14:paraId="0B6EEC04" w14:textId="77777777" w:rsidR="005D6C41" w:rsidRPr="00D273B9" w:rsidRDefault="00376DBC">
            <w:pPr>
              <w:ind w:left="0" w:hanging="2"/>
              <w:rPr>
                <w:rFonts w:eastAsia="Calibri"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sz w:val="20"/>
                <w:szCs w:val="20"/>
                <w:lang w:val="en-US"/>
              </w:rPr>
              <w:t xml:space="preserve">The mechanics of language used is appropriate. </w:t>
            </w:r>
          </w:p>
        </w:tc>
        <w:tc>
          <w:tcPr>
            <w:tcW w:w="855" w:type="dxa"/>
          </w:tcPr>
          <w:p w14:paraId="3960FA9E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5D6C41" w:rsidRPr="00D273B9" w14:paraId="378B4DA7" w14:textId="77777777">
        <w:trPr>
          <w:jc w:val="center"/>
        </w:trPr>
        <w:tc>
          <w:tcPr>
            <w:tcW w:w="7725" w:type="dxa"/>
            <w:tcBorders>
              <w:bottom w:val="single" w:sz="4" w:space="0" w:color="000000"/>
            </w:tcBorders>
          </w:tcPr>
          <w:p w14:paraId="0FA544A1" w14:textId="77777777" w:rsidR="005D6C41" w:rsidRPr="00D273B9" w:rsidRDefault="00376DBC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  <w:r w:rsidRPr="00D273B9">
              <w:rPr>
                <w:rFonts w:eastAsia="Calibri"/>
                <w:b/>
                <w:sz w:val="20"/>
                <w:szCs w:val="20"/>
                <w:lang w:val="en-US"/>
              </w:rPr>
              <w:t xml:space="preserve">Comments: </w:t>
            </w:r>
          </w:p>
          <w:p w14:paraId="52468185" w14:textId="77777777" w:rsidR="005D6C41" w:rsidRPr="00D273B9" w:rsidRDefault="005D6C41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75E3AB85" w14:textId="77777777" w:rsidR="00C01A4B" w:rsidRPr="00D273B9" w:rsidRDefault="00C01A4B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3A381636" w14:textId="77777777" w:rsidR="00C01A4B" w:rsidRPr="00D273B9" w:rsidRDefault="00C01A4B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14B8EA10" w14:textId="77777777" w:rsidR="005D6C41" w:rsidRPr="00D273B9" w:rsidRDefault="005D6C41">
            <w:pPr>
              <w:ind w:left="0" w:hanging="2"/>
              <w:rPr>
                <w:rFonts w:eastAsia="Calibri"/>
                <w:b/>
                <w:sz w:val="20"/>
                <w:szCs w:val="20"/>
                <w:lang w:val="en-US"/>
              </w:rPr>
            </w:pPr>
          </w:p>
          <w:p w14:paraId="14F8367D" w14:textId="77777777" w:rsidR="005D6C41" w:rsidRPr="00D273B9" w:rsidRDefault="005D6C41">
            <w:pPr>
              <w:ind w:left="0" w:hanging="2"/>
              <w:jc w:val="right"/>
              <w:rPr>
                <w:rFonts w:eastAsia="Calibri"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 w14:paraId="114F289D" w14:textId="77777777" w:rsidR="005D6C41" w:rsidRPr="00D273B9" w:rsidRDefault="005D6C41">
            <w:pPr>
              <w:ind w:left="2" w:hanging="4"/>
              <w:jc w:val="right"/>
              <w:rPr>
                <w:rFonts w:eastAsia="Calibri"/>
                <w:sz w:val="36"/>
                <w:szCs w:val="36"/>
                <w:lang w:val="en-US"/>
              </w:rPr>
            </w:pPr>
          </w:p>
          <w:p w14:paraId="24D5C24A" w14:textId="77777777" w:rsidR="005D6C41" w:rsidRPr="00D273B9" w:rsidRDefault="00376DBC">
            <w:pPr>
              <w:ind w:left="2" w:hanging="4"/>
              <w:jc w:val="right"/>
              <w:rPr>
                <w:rFonts w:eastAsia="Calibri"/>
                <w:sz w:val="36"/>
                <w:szCs w:val="36"/>
                <w:lang w:val="en-US"/>
              </w:rPr>
            </w:pPr>
            <w:r w:rsidRPr="00D273B9">
              <w:rPr>
                <w:rFonts w:eastAsia="Calibri"/>
                <w:sz w:val="36"/>
                <w:szCs w:val="36"/>
                <w:lang w:val="en-US"/>
              </w:rPr>
              <w:t>/30</w:t>
            </w:r>
          </w:p>
        </w:tc>
      </w:tr>
      <w:tr w:rsidR="005D6C41" w:rsidRPr="00D273B9" w14:paraId="7A184A9D" w14:textId="77777777">
        <w:trPr>
          <w:jc w:val="center"/>
        </w:trPr>
        <w:tc>
          <w:tcPr>
            <w:tcW w:w="7725" w:type="dxa"/>
            <w:tcBorders>
              <w:bottom w:val="single" w:sz="4" w:space="0" w:color="000000"/>
            </w:tcBorders>
          </w:tcPr>
          <w:p w14:paraId="762EBF0E" w14:textId="77777777" w:rsidR="005D6C41" w:rsidRPr="00D273B9" w:rsidRDefault="00376DBC">
            <w:pPr>
              <w:ind w:left="2" w:hanging="4"/>
              <w:jc w:val="center"/>
              <w:rPr>
                <w:rFonts w:eastAsia="Calibri"/>
                <w:sz w:val="36"/>
                <w:szCs w:val="36"/>
                <w:lang w:val="en-US"/>
              </w:rPr>
            </w:pPr>
            <w:r w:rsidRPr="00D273B9">
              <w:rPr>
                <w:rFonts w:eastAsia="Calibri"/>
                <w:sz w:val="36"/>
                <w:szCs w:val="36"/>
                <w:lang w:val="en-US"/>
              </w:rPr>
              <w:t>TOTAL:        /100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 w14:paraId="7A646F8C" w14:textId="77777777" w:rsidR="005D6C41" w:rsidRPr="00D273B9" w:rsidRDefault="005D6C41">
            <w:pPr>
              <w:ind w:left="0" w:hanging="2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</w:tbl>
    <w:p w14:paraId="10F35383" w14:textId="77777777" w:rsidR="005D6C41" w:rsidRPr="00D273B9" w:rsidRDefault="005D6C41">
      <w:pPr>
        <w:ind w:left="0" w:hanging="2"/>
        <w:rPr>
          <w:rFonts w:eastAsia="Calibri"/>
          <w:sz w:val="20"/>
          <w:szCs w:val="20"/>
          <w:lang w:val="en-US"/>
        </w:rPr>
      </w:pPr>
    </w:p>
    <w:sectPr w:rsidR="005D6C41" w:rsidRPr="00D273B9">
      <w:headerReference w:type="default" r:id="rId7"/>
      <w:pgSz w:w="11906" w:h="16838"/>
      <w:pgMar w:top="568" w:right="907" w:bottom="851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7EAE7" w14:textId="77777777" w:rsidR="007142D7" w:rsidRDefault="007142D7">
      <w:pPr>
        <w:spacing w:line="240" w:lineRule="auto"/>
        <w:ind w:left="0" w:hanging="2"/>
      </w:pPr>
      <w:r>
        <w:separator/>
      </w:r>
    </w:p>
  </w:endnote>
  <w:endnote w:type="continuationSeparator" w:id="0">
    <w:p w14:paraId="4242AB83" w14:textId="77777777" w:rsidR="007142D7" w:rsidRDefault="007142D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E9F9C" w14:textId="77777777" w:rsidR="007142D7" w:rsidRDefault="007142D7">
      <w:pPr>
        <w:spacing w:line="240" w:lineRule="auto"/>
        <w:ind w:left="0" w:hanging="2"/>
      </w:pPr>
      <w:r>
        <w:separator/>
      </w:r>
    </w:p>
  </w:footnote>
  <w:footnote w:type="continuationSeparator" w:id="0">
    <w:p w14:paraId="2F2686DA" w14:textId="77777777" w:rsidR="007142D7" w:rsidRDefault="007142D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33363" w14:textId="77777777" w:rsidR="005D6C41" w:rsidRDefault="00376DBC">
    <w:pPr>
      <w:spacing w:after="160" w:line="259" w:lineRule="auto"/>
      <w:ind w:left="0" w:hanging="2"/>
    </w:pPr>
    <w:bookmarkStart w:id="1" w:name="_heading=h.3znysh7" w:colFirst="0" w:colLast="0"/>
    <w:bookmarkEnd w:id="1"/>
    <w:r>
      <w:rPr>
        <w:rFonts w:ascii="Calibri" w:eastAsia="Calibri" w:hAnsi="Calibri" w:cs="Calibri"/>
        <w:noProof/>
        <w:sz w:val="22"/>
        <w:szCs w:val="22"/>
        <w:lang w:val="en-US" w:eastAsia="en-US"/>
      </w:rPr>
      <w:drawing>
        <wp:inline distT="114300" distB="114300" distL="114300" distR="114300" wp14:anchorId="3E18E136" wp14:editId="5B849E1F">
          <wp:extent cx="1985963" cy="73032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5963" cy="7303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MTY1NTUytzA3NLdU0lEKTi0uzszPAykwrAUA6y0VuCwAAAA="/>
  </w:docVars>
  <w:rsids>
    <w:rsidRoot w:val="005D6C41"/>
    <w:rsid w:val="000F66B6"/>
    <w:rsid w:val="002038E3"/>
    <w:rsid w:val="00376DBC"/>
    <w:rsid w:val="005D6C41"/>
    <w:rsid w:val="007142D7"/>
    <w:rsid w:val="00C01A4B"/>
    <w:rsid w:val="00D2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BB93"/>
  <w15:docId w15:val="{09972EC0-568C-4C72-ACA9-EE4F1E78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tr-T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WSp+bI/T/HmGFBHhCJ5NTcXXw==">AMUW2mUW4+lf53nwlchEaB3OJXinwvs776B6WIxFpGAvZKyfUVJdmZWZhE4W3hDbcdchoKCNbC11ZvQY4KBrE+7U9BW3Qi0ngJm+qMoktDDkqhiBmuiIB3YCeG5AF0vcLJz8zEKv+l9Z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O'Regan</dc:creator>
  <cp:lastModifiedBy>Sarah Elizabeth Kılınç</cp:lastModifiedBy>
  <cp:revision>3</cp:revision>
  <dcterms:created xsi:type="dcterms:W3CDTF">2020-06-19T12:33:00Z</dcterms:created>
  <dcterms:modified xsi:type="dcterms:W3CDTF">2020-06-19T12:34:00Z</dcterms:modified>
</cp:coreProperties>
</file>