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and data systems professional with 5 years supporting 4 shelter sites serving 400+ people/month, and their integrated clinical partnerships. Led mixed methods efforts—including surveys and focus groups—built reporting workflows, and translated findings into funder-ready narratives and operational 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cisions. Experienced with Python/SQL, SPSS, dashboards, and Microsoft 365 automation. Committed to equity-centered learning and improving health and housing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for Data Science Professional Concentration (4.0),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 Davis CPE,  2025</w:t>
      </w:r>
    </w:p>
    <w:p w:rsidR="00000000" w:rsidDel="00000000" w:rsidP="00000000" w:rsidRDefault="00000000" w:rsidRPr="00000000" w14:paraId="00000004">
      <w:pPr>
        <w:spacing w:after="1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M.S. Psychology (3.7)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Arizona State University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u w:val="single"/>
        </w:rPr>
        <w:sectPr>
          <w:headerReference r:id="rId6" w:type="default"/>
          <w:pgSz w:h="15840" w:w="12240" w:orient="portrait"/>
          <w:pgMar w:bottom="1440" w:top="1440" w:left="1440" w:right="1440" w:header="108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B.S. Neuroscience (3.1)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UC Davis,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108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Equity-informed outcomes measurement (demographic disaggregation)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Survey design &amp; analysis; focus group/interview facilitation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Quantitative analysis (Python/pandas, SPSS, Excel)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Dashboards &amp; stakeholder reporting (Looker)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 systems &amp; workflow automation (Microsoft 365, Power Automate; forms/workflows)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1440" w:top="1440" w:left="1440" w:right="1440" w:header="108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&amp; reporting (PostgreSQL)</w:t>
      </w:r>
    </w:p>
    <w:p w:rsidR="00000000" w:rsidDel="00000000" w:rsidP="00000000" w:rsidRDefault="00000000" w:rsidRPr="00000000" w14:paraId="0000000D">
      <w:pPr>
        <w:spacing w:after="10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Step Communities,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Operations Specialist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Homeless Shelter Operator, 7/21-Present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performance measurement and outcomes tracking across 4 shelter sites serving 400+ people/month; delivered recurring insights for leadership decision-making and funder reporting.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Analyzed program and partner datasets using Excel, SPSS, and Python to identify predictors of successful exits and service effectiveness.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Disaggregated outcomes by demographic characteristics to identify disparities and inform equity-focused program adjustments and reporting.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an association between on-site clinical engagement and permanent housing outcomes; supported leadership in scaling integrated clinical services across sites.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40+ standardized site forms and automated reporting workflows in Power Automate.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Produced executive and funder ready dashboards, briefs, and presentations; synthesized findings into actionable recommendations, communicated to technical and non-technical audiences.</w:t>
      </w:r>
    </w:p>
    <w:p w:rsidR="00000000" w:rsidDel="00000000" w:rsidP="00000000" w:rsidRDefault="00000000" w:rsidRPr="00000000" w14:paraId="00000015">
      <w:pPr>
        <w:spacing w:after="1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Eurofins Test America,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Environmental Chemistry Lab, 10/19-6/21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high-accuracy data entry and review in a regulated lab environment; supported QA documentation and adherence to SOPs.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scheduling and backlog to meet turnaround targets in a high-throughput setting.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450" w:top="1440" w:left="1440" w:right="1440" w:header="108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rFonts w:ascii="Times New Roman" w:cs="Times New Roman" w:eastAsia="Times New Roman" w:hAnsi="Times New Roman"/>
        <w:b w:val="1"/>
        <w:bCs w:val="1"/>
        <w:color w:val="20124d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rHeight w:val="1181.2402343750002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  <w:drawing>
              <wp:inline distB="114300" distT="114300" distL="114300" distR="114300">
                <wp:extent cx="719138" cy="71913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138" cy="7191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jc w:val="right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  <w:rtl w:val="0"/>
            </w:rPr>
            <w:t xml:space="preserve">Marc Del Fava, M.S.</w:t>
          </w:r>
        </w:p>
        <w:p w:rsidR="00000000" w:rsidDel="00000000" w:rsidP="00000000" w:rsidRDefault="00000000" w:rsidRPr="00000000" w14:paraId="0000001B">
          <w:pPr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Sacramento, CA</w:t>
          </w:r>
        </w:p>
        <w:p w:rsidR="00000000" w:rsidDel="00000000" w:rsidP="00000000" w:rsidRDefault="00000000" w:rsidRPr="00000000" w14:paraId="0000001C">
          <w:pPr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707 637 6544</w:t>
          </w:r>
        </w:p>
        <w:p w:rsidR="00000000" w:rsidDel="00000000" w:rsidP="00000000" w:rsidRDefault="00000000" w:rsidRPr="00000000" w14:paraId="0000001D">
          <w:pPr>
            <w:jc w:val="right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Marc.delfava@gmail.com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E">
    <w:pPr>
      <w:rPr>
        <w:rFonts w:ascii="Times New Roman" w:cs="Times New Roman" w:eastAsia="Times New Roman" w:hAnsi="Times New Roman"/>
        <w:b w:val="1"/>
        <w:bCs w:val="1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