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124d"/>
          <w:sz w:val="24"/>
          <w:szCs w:val="24"/>
          <w:u w:val="single"/>
          <w:rtl w:val="0"/>
        </w:rPr>
        <w:t xml:space="preserve">Statement of Purpose</w:t>
      </w:r>
      <w:r w:rsidDel="00000000" w:rsidR="00000000" w:rsidRPr="00000000">
        <w:rPr>
          <w:rtl w:val="0"/>
        </w:rPr>
      </w:r>
    </w:p>
    <w:p w:rsidR="00000000" w:rsidDel="00000000" w:rsidP="00000000" w:rsidRDefault="00000000" w:rsidRPr="00000000" w14:paraId="00000002">
      <w:pPr>
        <w:spacing w:after="200"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Untreated mental illness and addiction are the norm at the homeless shelter where psychological awareness is critical to avoid re-traumatization. Using data from a county-wide database of homeless persons, I’ve identified factors that correlate with outcomes in order to emphasize those services. There is a need for increased awareness of mental health disorders; especially schizophrenia, PTSD, and addiction.</w:t>
      </w:r>
    </w:p>
    <w:p w:rsidR="00000000" w:rsidDel="00000000" w:rsidP="00000000" w:rsidRDefault="00000000" w:rsidRPr="00000000" w14:paraId="00000003">
      <w:pPr>
        <w:spacing w:after="200"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academic interest is to understand the processes giving rise to thought and mental imagery. As an undergraduate at UCD, I asked Dr. Lauren Leitz, “What is a thought?” She replied, “An active set of neurons,” which haunts me. I suspect a thought is predictive mental imagery mediated by the </w:t>
      </w:r>
      <w:r w:rsidDel="00000000" w:rsidR="00000000" w:rsidRPr="00000000">
        <w:rPr>
          <w:rFonts w:ascii="Times New Roman" w:cs="Times New Roman" w:eastAsia="Times New Roman" w:hAnsi="Times New Roman"/>
          <w:color w:val="202124"/>
          <w:sz w:val="24"/>
          <w:szCs w:val="24"/>
          <w:rtl w:val="0"/>
        </w:rPr>
        <w:t xml:space="preserve">cortico-basal ganglia-thalamic loop</w:t>
      </w:r>
      <w:r w:rsidDel="00000000" w:rsidR="00000000" w:rsidRPr="00000000">
        <w:rPr>
          <w:rFonts w:ascii="Times New Roman" w:cs="Times New Roman" w:eastAsia="Times New Roman" w:hAnsi="Times New Roman"/>
          <w:sz w:val="24"/>
          <w:szCs w:val="24"/>
          <w:rtl w:val="0"/>
        </w:rPr>
        <w:t xml:space="preserve">, layer specific activity of cortical columns, and the modulatory effects of monoamines.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clinically relevant approach to my interest is the</w:t>
      </w:r>
      <w:commentRangeStart w:id="0"/>
      <w:r w:rsidDel="00000000" w:rsidR="00000000" w:rsidRPr="00000000">
        <w:rPr>
          <w:rFonts w:ascii="Times New Roman" w:cs="Times New Roman" w:eastAsia="Times New Roman" w:hAnsi="Times New Roman"/>
          <w:sz w:val="24"/>
          <w:szCs w:val="24"/>
          <w:rtl w:val="0"/>
        </w:rPr>
        <w:t xml:space="preserve"> pathogenesis and treatment of hallucinations, delusions, and affective dysregulation.</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00" w:line="33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studying Neuroscience at UCD, courses such as neural mechanisms of behavior and comparative neuroanatomy gave me a foundational understanding of neural processes. At Arizona State University I learned traditional psychological frameworks in classes such as cognitive science and psychopathology. I enjoy a multi-leveled appreciation of behavior, from cell processes to social factors. The academic rigor, social atmosphere, and deep community roots via the hospital are my motivations for applying with UCD. </w:t>
      </w:r>
    </w:p>
    <w:p w:rsidR="00000000" w:rsidDel="00000000" w:rsidP="00000000" w:rsidRDefault="00000000" w:rsidRPr="00000000" w14:paraId="00000005">
      <w:pPr>
        <w:spacing w:after="200" w:line="33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research of the Mangun, and Hasting, Luck, and Carter lab match my interests. The Hasting Lab’s investigation of adaptive emotional behaviors aligns with my goal of understanding maladaptive trauma responses. </w:t>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n Jennings" w:id="0" w:date="2022-11-11T22:20:32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 Davis, in their requirements for their statement of purpose, states that they want you to "highlight your specializations and career goals", which may include your research interests, disciplinary subfields, area/s of specialization, and professional objectives. You do this pretty well in this sentence. I suggest adding another sentence about a wider career goal, like how you want your work to benefit society, or other later career goals like becoming a leader in a specific field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spacing w:line="240" w:lineRule="auto"/>
      <w:jc w:val="righ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Marc Del Fava</w:t>
    </w:r>
  </w:p>
  <w:p w:rsidR="00000000" w:rsidDel="00000000" w:rsidP="00000000" w:rsidRDefault="00000000" w:rsidRPr="00000000" w14:paraId="0000000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0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mdelfava@UCDavis.edu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