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BodyText"/>
      </w:pPr>
      <w:r>
        <w:t xml:space="preserve">mdelfava@ucdavis.edu | 707-637-6544 | Sacramento, CA</w:t>
      </w:r>
    </w:p>
    <w:p>
      <w:pPr>
        <w:pStyle w:val="BodyText"/>
      </w:pPr>
      <w:hyperlink r:id="rId2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</w:p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Biomedical Engineering M.S. student at UC Davis working on human single-unit electrophysiology, neural acquisition, and Python analysis pipelines. Experience spans Intan/DeepArray bench testing, Neuralynx and Dark Horse Neuro workflows, spike sorting, experiment synchronization, and event-aligned response analysis. Develops tools with AI coding agents and evaluates outputs against recorded signals, timing measurements, and reproducible neural responses.</w:t>
      </w:r>
    </w:p>
    <w:bookmarkEnd w:id="23"/>
    <w:bookmarkStart w:id="24" w:name="research-and-volunteer-experience"/>
    <w:p>
      <w:pPr>
        <w:pStyle w:val="Heading2"/>
      </w:pPr>
      <w:r>
        <w:t xml:space="preserve">Research and Volunteer Experience</w:t>
      </w:r>
    </w:p>
    <w:p>
      <w:pPr>
        <w:pStyle w:val="EntryHeading"/>
      </w:pPr>
      <w:r>
        <w:rPr>
          <w:bCs/>
          <w:b/>
        </w:rPr>
        <w:t xml:space="preserve">Research Volunteer — UC Davis Health — Z-Lab (Dr. Jie Zheng)</w:t>
      </w:r>
      <w:r>
        <w:t xml:space="preserve"> </w:t>
      </w:r>
      <w:r>
        <w:t xml:space="preserve">| Sacramento, CA | Jul 2025 – Present</w:t>
      </w:r>
    </w:p>
    <w:p>
      <w:pPr>
        <w:numPr>
          <w:ilvl w:val="0"/>
          <w:numId w:val="1001"/>
        </w:numPr>
        <w:pStyle w:val="Compact"/>
      </w:pPr>
      <w:r>
        <w:t xml:space="preserve">Process human microwire recordings with SpikeInterface, MountainSort5, Kilosort4, and O-Sort; compare Neuralynx CSC and MED-derived inputs to investigate conversion precision and spike-detection discrepancies.</w:t>
      </w:r>
    </w:p>
    <w:p>
      <w:pPr>
        <w:numPr>
          <w:ilvl w:val="0"/>
          <w:numId w:val="1001"/>
        </w:numPr>
        <w:pStyle w:val="Compact"/>
      </w:pPr>
      <w:r>
        <w:t xml:space="preserve">Develop experiment synchronization with PsychoPy, Intan RHX TCP annotations, and Cedrus C-Pod TTL markers; measured clock drift and event-alignment residuals to assess timing limitations.</w:t>
      </w:r>
    </w:p>
    <w:p>
      <w:pPr>
        <w:numPr>
          <w:ilvl w:val="0"/>
          <w:numId w:val="1001"/>
        </w:numPr>
        <w:pStyle w:val="Compact"/>
      </w:pPr>
      <w:r>
        <w:t xml:space="preserve">Co-led bench testing of a 128-channel DeepArray/Intan acquisition setup; mapped probe and RHX channels and investigated grounding, filter behavior, shorts, and high-impedance channels. Lab testing identified 121 of 128 channels with clean test-signal recordings.</w:t>
      </w:r>
    </w:p>
    <w:p>
      <w:pPr>
        <w:numPr>
          <w:ilvl w:val="0"/>
          <w:numId w:val="1001"/>
        </w:numPr>
        <w:pStyle w:val="Compact"/>
      </w:pPr>
      <w:r>
        <w:t xml:space="preserve">Built a Python workflow combining sorted single-unit data and event markers to generate PSTHs for repeated 30-second stories; reproduced an event-associated response in the same unit across six repetitions.</w:t>
      </w:r>
    </w:p>
    <w:p>
      <w:pPr>
        <w:pStyle w:val="EntryHeading"/>
      </w:pPr>
      <w:r>
        <w:rPr>
          <w:bCs/>
          <w:b/>
        </w:rPr>
        <w:t xml:space="preserve">Research Volunteer — UC Davis Health — Neuroscience Unit E5</w:t>
      </w:r>
      <w:r>
        <w:t xml:space="preserve"> </w:t>
      </w:r>
      <w:r>
        <w:t xml:space="preserve">| Sacramento, CA | Dec 2022 – Jul 2023</w:t>
      </w:r>
    </w:p>
    <w:p>
      <w:pPr>
        <w:numPr>
          <w:ilvl w:val="0"/>
          <w:numId w:val="1002"/>
        </w:numPr>
        <w:pStyle w:val="Compact"/>
      </w:pPr>
      <w:r>
        <w:t xml:space="preserve">Prepared headboxes and EEG application kits for the Epilepsy Monitoring Unit.</w:t>
      </w:r>
    </w:p>
    <w:p>
      <w:pPr>
        <w:numPr>
          <w:ilvl w:val="0"/>
          <w:numId w:val="1002"/>
        </w:numPr>
        <w:pStyle w:val="Compact"/>
      </w:pPr>
      <w:r>
        <w:t xml:space="preserve">Shadowed EEG technologists and observed clinical neurophysiology procedures for patients with epilepsy and traumatic brain injury.</w:t>
      </w:r>
    </w:p>
    <w:bookmarkEnd w:id="24"/>
    <w:bookmarkStart w:id="28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rPr>
          <w:bCs/>
          <w:b/>
        </w:rPr>
        <w:t xml:space="preserve">Semantic Neuron simulation</w:t>
      </w:r>
      <w:r>
        <w:t xml:space="preserve"> </w:t>
      </w:r>
      <w:r>
        <w:t xml:space="preserve">| 2026</w:t>
      </w:r>
    </w:p>
    <w:p>
      <w:pPr>
        <w:numPr>
          <w:ilvl w:val="0"/>
          <w:numId w:val="1003"/>
        </w:numPr>
        <w:pStyle w:val="Compact"/>
      </w:pPr>
      <w:r>
        <w:t xml:space="preserve">Built a NEURON prototype linking sentence-embedding cosine similarity to stochastic synaptic input in a Hodgkin-Huxley compartment with fixed synaptic weights.</w:t>
      </w:r>
    </w:p>
    <w:p>
      <w:pPr>
        <w:numPr>
          <w:ilvl w:val="0"/>
          <w:numId w:val="1003"/>
        </w:numPr>
        <w:pStyle w:val="Compact"/>
      </w:pPr>
      <w:r>
        <w:t xml:space="preserve">Implemented seeded trials and outputs for membrane voltage, presynaptic and postsynaptic spike times, and firing rates to explore semantic-tuning hypotheses in simulation.</w:t>
      </w:r>
    </w:p>
    <w:p>
      <w:pPr>
        <w:numPr>
          <w:ilvl w:val="0"/>
          <w:numId w:val="1003"/>
        </w:numPr>
        <w:pStyle w:val="Compact"/>
      </w:pPr>
      <w:r>
        <w:t xml:space="preserve">Links: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p>
      <w:pPr>
        <w:pStyle w:val="FirstParagraph"/>
      </w:pPr>
      <w:r>
        <w:rPr>
          <w:bCs/>
          <w:b/>
        </w:rPr>
        <w:t xml:space="preserve">Dark Horse Neuro / Neuralynx acquisition pipeline</w:t>
      </w:r>
      <w:r>
        <w:t xml:space="preserve"> </w:t>
      </w:r>
      <w:r>
        <w:t xml:space="preserve">| 2026</w:t>
      </w:r>
    </w:p>
    <w:p>
      <w:pPr>
        <w:numPr>
          <w:ilvl w:val="0"/>
          <w:numId w:val="1004"/>
        </w:numPr>
        <w:pStyle w:val="Compact"/>
      </w:pPr>
      <w:r>
        <w:t xml:space="preserve">Develop Python orchestration for DHN-AQ configuration, SSH launch, acquisition diagnostics, and Neuralynx Pegasus/NetCom integration.</w:t>
      </w:r>
    </w:p>
    <w:p>
      <w:pPr>
        <w:numPr>
          <w:ilvl w:val="0"/>
          <w:numId w:val="1004"/>
        </w:numPr>
        <w:pStyle w:val="Compact"/>
      </w:pPr>
      <w:r>
        <w:t xml:space="preserve">Implemented RC/CS configuration writers and an NRD-to-UDP replay prototype; hardware reception and recording validation remain in progress.</w:t>
      </w:r>
    </w:p>
    <w:p>
      <w:pPr>
        <w:numPr>
          <w:ilvl w:val="0"/>
          <w:numId w:val="1004"/>
        </w:numPr>
        <w:pStyle w:val="Compact"/>
      </w:pPr>
      <w:r>
        <w:t xml:space="preserve">Links:</w:t>
      </w:r>
      <w:r>
        <w:t xml:space="preserve"> </w:t>
      </w:r>
      <w:hyperlink r:id="rId26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Docs</w:t>
        </w:r>
      </w:hyperlink>
    </w:p>
    <w:bookmarkEnd w:id="28"/>
    <w:bookmarkStart w:id="29" w:name="experience"/>
    <w:p>
      <w:pPr>
        <w:pStyle w:val="Heading2"/>
      </w:pPr>
      <w:r>
        <w:t xml:space="preserve">Experience</w:t>
      </w:r>
    </w:p>
    <w:p>
      <w:pPr>
        <w:pStyle w:val="EntryHeading"/>
      </w:pPr>
      <w:r>
        <w:rPr>
          <w:bCs/>
          <w:b/>
        </w:rPr>
        <w:t xml:space="preserve">Operations Specialist — First Step Communities</w:t>
      </w:r>
      <w:r>
        <w:t xml:space="preserve"> </w:t>
      </w:r>
      <w:r>
        <w:t xml:space="preserve">| Sacramento, CA | Jul 2021 – Present</w:t>
      </w:r>
    </w:p>
    <w:p>
      <w:pPr>
        <w:numPr>
          <w:ilvl w:val="0"/>
          <w:numId w:val="1005"/>
        </w:numPr>
        <w:pStyle w:val="Compact"/>
      </w:pPr>
      <w:r>
        <w:t xml:space="preserve">Analyzed program and partner datasets using Python, SPSS, and Excel to identify predictors of successful exits and service effectiveness.</w:t>
      </w:r>
    </w:p>
    <w:p>
      <w:pPr>
        <w:numPr>
          <w:ilvl w:val="0"/>
          <w:numId w:val="1005"/>
        </w:numPr>
        <w:pStyle w:val="Compact"/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EntryHeading"/>
      </w:pPr>
      <w:r>
        <w:rPr>
          <w:bCs/>
          <w:b/>
        </w:rPr>
        <w:t xml:space="preserve">Analyst — Eurofins Test America</w:t>
      </w:r>
      <w:r>
        <w:t xml:space="preserve"> </w:t>
      </w:r>
      <w:r>
        <w:t xml:space="preserve">| West Sacramento, CA | Oct 2019 – Jun 2021</w:t>
      </w:r>
    </w:p>
    <w:p>
      <w:pPr>
        <w:numPr>
          <w:ilvl w:val="0"/>
          <w:numId w:val="1006"/>
        </w:numPr>
        <w:pStyle w:val="Compact"/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numPr>
          <w:ilvl w:val="0"/>
          <w:numId w:val="1006"/>
        </w:numPr>
        <w:pStyle w:val="Compact"/>
      </w:pPr>
      <w:r>
        <w:t xml:space="preserve">Performed solvent extraction of organic compounds from soil and water samples in a high-throughput production setting.</w:t>
      </w:r>
    </w:p>
    <w:bookmarkEnd w:id="29"/>
    <w:bookmarkStart w:id="3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M.S. Biomedical Engineering</w:t>
      </w:r>
      <w:r>
        <w:t xml:space="preserve"> </w:t>
      </w:r>
      <w:r>
        <w:t xml:space="preserve">| University of California, Davis | Sep 2026 - Present</w:t>
      </w:r>
    </w:p>
    <w:p>
      <w:pPr>
        <w:pStyle w:val="BodyText"/>
      </w:pPr>
      <w:r>
        <w:t xml:space="preserve">Neuroengineering track; research in Dr. Jie Zheng’s Z-Lab</w:t>
      </w:r>
    </w:p>
    <w:p>
      <w:pPr>
        <w:pStyle w:val="BodyText"/>
      </w:pPr>
      <w:r>
        <w:rPr>
          <w:bCs/>
          <w:b/>
        </w:rPr>
        <w:t xml:space="preserve">M.S. Psychology (GPA: 3.7)</w:t>
      </w:r>
      <w:r>
        <w:t xml:space="preserve"> </w:t>
      </w:r>
      <w:r>
        <w:t xml:space="preserve">| Arizona State University | 2023</w:t>
      </w:r>
    </w:p>
    <w:p>
      <w:pPr>
        <w:pStyle w:val="BodyText"/>
      </w:pPr>
      <w:r>
        <w:rPr>
          <w:bCs/>
          <w:b/>
        </w:rPr>
        <w:t xml:space="preserve">B.S. Neuroscience, Physiology, and Behavior</w:t>
      </w:r>
      <w:r>
        <w:t xml:space="preserve"> </w:t>
      </w:r>
      <w:r>
        <w:t xml:space="preserve">| University of California, Davis | 2017</w:t>
      </w:r>
    </w:p>
    <w:bookmarkEnd w:id="30"/>
    <w:bookmarkStart w:id="3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Neural Data &amp; Signal Processing:</w:t>
      </w:r>
      <w:r>
        <w:t xml:space="preserve"> </w:t>
      </w:r>
      <w:r>
        <w:t xml:space="preserve">Human intracranial recordings and Behnke-Fried microwire data, Spike sorting (SpikeInterface, MountainSort5, Kilosort4, O-Sort), Preprocessing and waveform analysis, Event alignment and peri-stimulus time histograms (PSTHs)</w:t>
      </w:r>
    </w:p>
    <w:p>
      <w:pPr>
        <w:pStyle w:val="BodyText"/>
      </w:pPr>
      <w:r>
        <w:rPr>
          <w:bCs/>
          <w:b/>
        </w:rPr>
        <w:t xml:space="preserve">Neural Acquisition &amp; Tooling:</w:t>
      </w:r>
      <w:r>
        <w:t xml:space="preserve"> </w:t>
      </w:r>
      <w:r>
        <w:t xml:space="preserve">Intan RHX and 128-channel DeepArray bench testing, Neuralynx CSC/NEV data and Pegasus/NetCom workflows, Dark Horse Neuro acquisition and MED conversion workflows, PsychoPy/TCP event integration and Cedrus C-Pod TTL markers, Channel mapping, grounding, and signal-quality troubleshooting</w:t>
      </w:r>
    </w:p>
    <w:p>
      <w:pPr>
        <w:pStyle w:val="BodyText"/>
      </w:pPr>
      <w:r>
        <w:rPr>
          <w:bCs/>
          <w:b/>
        </w:rPr>
        <w:t xml:space="preserve">Scientific Software &amp; Modeling:</w:t>
      </w:r>
      <w:r>
        <w:t xml:space="preserve"> </w:t>
      </w:r>
      <w:r>
        <w:t xml:space="preserve">Python (NumPy, Pandas, Matplotlib, Neo), MATLAB and AWS GPU sorting workflows, NEURON and semantic embedding prototypes, Git, Linux, and shell scripting</w:t>
      </w:r>
    </w:p>
    <w:p>
      <w:pPr>
        <w:pStyle w:val="BodyText"/>
      </w:pPr>
      <w:r>
        <w:rPr>
          <w:bCs/>
          <w:b/>
        </w:rPr>
        <w:t xml:space="preserve">Software Validation &amp; Reproducibility:</w:t>
      </w:r>
      <w:r>
        <w:t xml:space="preserve"> </w:t>
      </w:r>
      <w:r>
        <w:t xml:space="preserve">AI-assisted scientific software development, Recorded-data comparisons and repeatable response checks, Clock-drift and event-timing analysis, Synthetic signal and simulation-based prototyping</w:t>
      </w:r>
    </w:p>
    <w:bookmarkEnd w:id="31"/>
    <w:bookmarkStart w:id="33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32">
        <w:r>
          <w:rPr>
            <w:rStyle w:val="Hyperlink"/>
          </w:rPr>
          <w:t xml:space="preserve">View badge</w:t>
        </w:r>
      </w:hyperlink>
    </w:p>
    <w:p>
      <w:pPr>
        <w:numPr>
          <w:ilvl w:val="0"/>
          <w:numId w:val="1007"/>
        </w:numPr>
        <w:pStyle w:val="Compact"/>
      </w:pPr>
      <w:r>
        <w:t xml:space="preserve">CITI — Biomedical Research</w:t>
      </w:r>
    </w:p>
    <w:p>
      <w:pPr>
        <w:numPr>
          <w:ilvl w:val="0"/>
          <w:numId w:val="1007"/>
        </w:numPr>
        <w:pStyle w:val="Compact"/>
      </w:pPr>
      <w:r>
        <w:t xml:space="preserve">CITI — Essentials of Research Administration</w:t>
      </w:r>
    </w:p>
    <w:p>
      <w:pPr>
        <w:numPr>
          <w:ilvl w:val="0"/>
          <w:numId w:val="1007"/>
        </w:numPr>
        <w:pStyle w:val="Compact"/>
      </w:pPr>
      <w:r>
        <w:t xml:space="preserve">CITI — GCP Social and Behavioral Research Best Practices</w:t>
      </w:r>
    </w:p>
    <w:bookmarkEnd w:id="33"/>
    <w:sectPr w:rsidR="00FC693F" w:rsidRPr="0006063C" w:rsidSect="00034616">
      <w:pgSz w:h="15840" w:w="12240"/>
      <w:pgMar w:bottom="864" w:footer="720" w:gutter="0" w:header="720" w:left="1008" w:right="1008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80" w:line="245" w:lineRule="auto"/>
    </w:pPr>
    <w:rPr>
      <w:rFonts w:ascii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0"/>
      <w:outlineLvl w:val="0"/>
    </w:pPr>
    <w:rPr>
      <w:rFonts w:ascii="Arial" w:asciiTheme="majorHAnsi" w:cstheme="majorBidi" w:eastAsiaTheme="majorEastAsia" w:hAnsi="Arial" w:hAnsiTheme="majorHAnsi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rial" w:asciiTheme="majorHAnsi" w:cstheme="majorBidi" w:eastAsiaTheme="majorEastAsia" w:hAnsi="Arial" w:hAnsiTheme="majorHAnsi"/>
      <w:b/>
      <w:bCs/>
      <w:sz w:val="24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20"/>
      <w:outlineLvl w:val="2"/>
    </w:pPr>
    <w:rPr>
      <w:rFonts w:ascii="Arial" w:asciiTheme="majorHAnsi" w:cstheme="majorBidi" w:eastAsiaTheme="majorEastAsia" w:hAnsi="Arial" w:hAnsiTheme="majorHAnsi"/>
      <w:b/>
      <w:bCs/>
      <w:sz w:val="22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60" w:before="0" w:line="240" w:lineRule="auto"/>
      <w:contextualSpacing/>
    </w:pPr>
    <w:rPr>
      <w:rFonts w:ascii="Arial" w:asciiTheme="majorHAnsi" w:cstheme="majorBidi" w:eastAsiaTheme="majorEastAsia" w:hAnsi="Arial" w:hAnsiTheme="majorHAnsi"/>
      <w:b/>
      <w:spacing w:val="5"/>
      <w:kern w:val="28"/>
      <w:sz w:val="44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80" w:line="245" w:lineRule="auto"/>
    </w:pPr>
    <w:rPr>
      <w:rFonts w:ascii="Arial" w:hAnsi="Arial"/>
      <w:color w:val="00000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widowControl/>
      <w:spacing w:after="80" w:line="245" w:lineRule="auto"/>
    </w:pPr>
    <w:rPr>
      <w:rFonts w:ascii="Arial" w:hAnsi="Arial"/>
      <w:color w:val="000000"/>
      <w:sz w:val="22"/>
    </w:rPr>
  </w:style>
  <w:style w:customStyle="1" w:styleId="Compact" w:type="paragraph">
    <w:name w:val="Compact"/>
    <w:pPr>
      <w:widowControl/>
      <w:spacing w:after="80" w:line="245" w:lineRule="auto"/>
    </w:pPr>
    <w:rPr>
      <w:rFonts w:ascii="Arial" w:hAnsi="Arial"/>
      <w:color w:val="000000"/>
      <w:sz w:val="22"/>
    </w:rPr>
  </w:style>
  <w:style w:customStyle="1" w:styleId="EntryHeading" w:type="paragraph">
    <w:name w:val="Entry Heading"/>
    <w:pPr>
      <w:keepNext/>
      <w:spacing w:after="60" w:before="80"/>
    </w:pPr>
    <w:rPr>
      <w:rFonts w:ascii="Arial" w:hAnsi="Arial"/>
      <w:b w:val="0"/>
      <w:sz w:val="22"/>
      <w:color w:val="000000"/>
    </w:rPr>
  </w:style>
  <w:style w:customStyle="1" w:styleId="Hyperlink" w:type="character">
    <w:name w:val="Hyperlink"/>
    <w:rPr>
      <w:color w:val="00000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barkbarkbarkbarkbarkbarkbark.github.io/dhn_client/" TargetMode="External" /><Relationship Type="http://schemas.openxmlformats.org/officeDocument/2006/relationships/hyperlink" Id="rId20" Target="https://github.com/BarkBarkBarkBarkBarkBarkBark" TargetMode="External" /><Relationship Type="http://schemas.openxmlformats.org/officeDocument/2006/relationships/hyperlink" Id="rId26" Target="https://github.com/BarkBarkBarkBarkBarkBarkBark/dhn_client" TargetMode="External" /><Relationship Type="http://schemas.openxmlformats.org/officeDocument/2006/relationships/hyperlink" Id="rId25" Target="https://github.com/BarkBarkBarkBarkBarkBarkBark/semantic_neuron" TargetMode="External" /><Relationship Type="http://schemas.openxmlformats.org/officeDocument/2006/relationships/hyperlink" Id="rId22" Target="https://transformations.solutions" TargetMode="External" /><Relationship Type="http://schemas.openxmlformats.org/officeDocument/2006/relationships/hyperlink" Id="rId32" Target="https://www.credly.com/badges/505ef11c-58b4-48bd-aa9e-5a21f0247d46/public_url" TargetMode="External" /><Relationship Type="http://schemas.openxmlformats.org/officeDocument/2006/relationships/hyperlink" Id="rId21" Target="https://www.linkedin.com/in/marc-del-f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barkbarkbarkbarkbarkbarkbark.github.io/dhn_client/" TargetMode="External" /><Relationship Type="http://schemas.openxmlformats.org/officeDocument/2006/relationships/hyperlink" Id="rId20" Target="https://github.com/BarkBarkBarkBarkBarkBarkBark" TargetMode="External" /><Relationship Type="http://schemas.openxmlformats.org/officeDocument/2006/relationships/hyperlink" Id="rId26" Target="https://github.com/BarkBarkBarkBarkBarkBarkBark/dhn_client" TargetMode="External" /><Relationship Type="http://schemas.openxmlformats.org/officeDocument/2006/relationships/hyperlink" Id="rId25" Target="https://github.com/BarkBarkBarkBarkBarkBarkBark/semantic_neuron" TargetMode="External" /><Relationship Type="http://schemas.openxmlformats.org/officeDocument/2006/relationships/hyperlink" Id="rId22" Target="https://transformations.solutions" TargetMode="External" /><Relationship Type="http://schemas.openxmlformats.org/officeDocument/2006/relationships/hyperlink" Id="rId32" Target="https://www.credly.com/badges/505ef11c-58b4-48bd-aa9e-5a21f0247d46/public_url" TargetMode="External" /><Relationship Type="http://schemas.openxmlformats.org/officeDocument/2006/relationships/hyperlink" Id="rId21" Target="https://www.linkedin.com/in/marc-del-f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2026-10-17T15:22:11Z</dcterms:created>
  <dcterms:modified xsi:type="dcterms:W3CDTF">2026-10-17T15:22:11Z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