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2AD6" w14:textId="77777777" w:rsidR="00B20325" w:rsidRPr="00A457A4" w:rsidRDefault="00B20325" w:rsidP="00B20325">
      <w:pPr>
        <w:rPr>
          <w:b/>
          <w:bCs/>
        </w:rPr>
      </w:pPr>
      <w:r w:rsidRPr="00A457A4">
        <w:rPr>
          <w:b/>
          <w:bCs/>
        </w:rPr>
        <w:t>LEPSI</w:t>
      </w:r>
      <w:r>
        <w:rPr>
          <w:b/>
          <w:bCs/>
        </w:rPr>
        <w:t xml:space="preserve"> review</w:t>
      </w:r>
    </w:p>
    <w:tbl>
      <w:tblPr>
        <w:tblStyle w:val="GridTable1Light"/>
        <w:tblW w:w="14737" w:type="dxa"/>
        <w:tblLook w:val="04A0" w:firstRow="1" w:lastRow="0" w:firstColumn="1" w:lastColumn="0" w:noHBand="0" w:noVBand="1"/>
      </w:tblPr>
      <w:tblGrid>
        <w:gridCol w:w="1980"/>
        <w:gridCol w:w="4111"/>
        <w:gridCol w:w="4394"/>
        <w:gridCol w:w="4252"/>
      </w:tblGrid>
      <w:tr w:rsidR="00B20325" w14:paraId="5234A062" w14:textId="77777777" w:rsidTr="006E2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641F59" w14:textId="77777777" w:rsidR="00B20325" w:rsidRPr="0051287A" w:rsidRDefault="00B20325" w:rsidP="006E2B37">
            <w:pPr>
              <w:rPr>
                <w:sz w:val="20"/>
                <w:szCs w:val="20"/>
              </w:rPr>
            </w:pPr>
            <w:r w:rsidRPr="0051287A">
              <w:rPr>
                <w:sz w:val="20"/>
                <w:szCs w:val="20"/>
              </w:rPr>
              <w:t>Act / Law / Guidance</w:t>
            </w:r>
          </w:p>
        </w:tc>
        <w:tc>
          <w:tcPr>
            <w:tcW w:w="4111" w:type="dxa"/>
          </w:tcPr>
          <w:p w14:paraId="04135760" w14:textId="77777777" w:rsidR="00B20325" w:rsidRPr="0051287A" w:rsidRDefault="00B20325" w:rsidP="006E2B37">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750BC0A2" w14:textId="77777777" w:rsidR="00B20325" w:rsidRPr="0051287A" w:rsidRDefault="00B20325" w:rsidP="006E2B37">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5EEA00FC" w14:textId="77777777" w:rsidR="00B20325" w:rsidRPr="0051287A" w:rsidRDefault="00B20325" w:rsidP="006E2B37">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B20325" w:rsidRPr="00245CC3" w14:paraId="07EAD1FE"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47F9AB77" w14:textId="77777777" w:rsidR="00B20325" w:rsidRPr="0051287A" w:rsidRDefault="00B20325" w:rsidP="006E2B37">
            <w:pPr>
              <w:rPr>
                <w:sz w:val="20"/>
                <w:szCs w:val="20"/>
              </w:rPr>
            </w:pPr>
            <w:r w:rsidRPr="0051287A">
              <w:rPr>
                <w:sz w:val="20"/>
                <w:szCs w:val="20"/>
              </w:rPr>
              <w:t>Data Protection Act 2018 (DPA)</w:t>
            </w:r>
          </w:p>
        </w:tc>
        <w:tc>
          <w:tcPr>
            <w:tcW w:w="4111" w:type="dxa"/>
          </w:tcPr>
          <w:p w14:paraId="5033C23B"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6CAF2EA4"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697C3A" w:rsidRPr="0051287A">
              <w:rPr>
                <w:sz w:val="20"/>
                <w:szCs w:val="20"/>
              </w:rPr>
              <w:t>project,</w:t>
            </w:r>
            <w:r w:rsidRPr="0051287A">
              <w:rPr>
                <w:sz w:val="20"/>
                <w:szCs w:val="20"/>
              </w:rPr>
              <w:t xml:space="preserve"> so this is not applicable for me.</w:t>
            </w:r>
          </w:p>
        </w:tc>
        <w:tc>
          <w:tcPr>
            <w:tcW w:w="4252" w:type="dxa"/>
            <w:shd w:val="clear" w:color="auto" w:fill="auto"/>
          </w:tcPr>
          <w:p w14:paraId="179D4849"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14:paraId="25D0FC99"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5686BCF6" w14:textId="77777777" w:rsidR="00B20325" w:rsidRPr="0051287A" w:rsidRDefault="00B20325" w:rsidP="006E2B37">
            <w:pPr>
              <w:rPr>
                <w:sz w:val="20"/>
                <w:szCs w:val="20"/>
              </w:rPr>
            </w:pPr>
            <w:r w:rsidRPr="0051287A">
              <w:rPr>
                <w:sz w:val="20"/>
                <w:szCs w:val="20"/>
              </w:rPr>
              <w:t>Equality Act 2010</w:t>
            </w:r>
          </w:p>
        </w:tc>
        <w:tc>
          <w:tcPr>
            <w:tcW w:w="4111" w:type="dxa"/>
          </w:tcPr>
          <w:p w14:paraId="0A0C1258"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C287FCE"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08BBC068"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14:paraId="2407D412"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5D773081" w14:textId="77777777" w:rsidR="00B20325" w:rsidRPr="0051287A" w:rsidRDefault="00B20325" w:rsidP="006E2B37">
            <w:pPr>
              <w:rPr>
                <w:sz w:val="20"/>
                <w:szCs w:val="20"/>
              </w:rPr>
            </w:pPr>
            <w:r w:rsidRPr="0051287A">
              <w:rPr>
                <w:sz w:val="20"/>
                <w:szCs w:val="20"/>
              </w:rPr>
              <w:t>Computer Misuse Act 1990</w:t>
            </w:r>
          </w:p>
        </w:tc>
        <w:tc>
          <w:tcPr>
            <w:tcW w:w="4111" w:type="dxa"/>
          </w:tcPr>
          <w:p w14:paraId="408CA42C"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6E83079F"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33C83E39"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B20325" w:rsidRPr="00245CC3" w14:paraId="284080AF"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5B5F7554" w14:textId="77777777" w:rsidR="00B20325" w:rsidRPr="0051287A" w:rsidRDefault="00B20325" w:rsidP="006E2B37">
            <w:pPr>
              <w:rPr>
                <w:sz w:val="20"/>
                <w:szCs w:val="20"/>
              </w:rPr>
            </w:pPr>
            <w:r w:rsidRPr="0051287A">
              <w:rPr>
                <w:sz w:val="20"/>
                <w:szCs w:val="20"/>
              </w:rPr>
              <w:t>Copyright</w:t>
            </w:r>
          </w:p>
        </w:tc>
        <w:tc>
          <w:tcPr>
            <w:tcW w:w="4111" w:type="dxa"/>
          </w:tcPr>
          <w:p w14:paraId="7824F998"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3D883381"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2D2CBC4C"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B20325" w:rsidRPr="00245CC3" w14:paraId="0E7BF44A"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4D958194" w14:textId="77777777" w:rsidR="00B20325" w:rsidRPr="0051287A" w:rsidRDefault="00B20325" w:rsidP="006E2B37">
            <w:pPr>
              <w:rPr>
                <w:sz w:val="20"/>
                <w:szCs w:val="20"/>
              </w:rPr>
            </w:pPr>
            <w:r w:rsidRPr="0051287A">
              <w:rPr>
                <w:sz w:val="20"/>
                <w:szCs w:val="20"/>
              </w:rPr>
              <w:t>Freedom of Information Act</w:t>
            </w:r>
          </w:p>
        </w:tc>
        <w:tc>
          <w:tcPr>
            <w:tcW w:w="4111" w:type="dxa"/>
          </w:tcPr>
          <w:p w14:paraId="7B98F9F5"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36BA1B20"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sidR="00697C3A">
              <w:rPr>
                <w:sz w:val="20"/>
                <w:szCs w:val="20"/>
              </w:rPr>
              <w:t>and I don’t</w:t>
            </w:r>
            <w:r w:rsidRPr="0051287A">
              <w:rPr>
                <w:sz w:val="20"/>
                <w:szCs w:val="20"/>
              </w:rPr>
              <w:t xml:space="preserve"> require data from a public authority.</w:t>
            </w:r>
          </w:p>
        </w:tc>
        <w:tc>
          <w:tcPr>
            <w:tcW w:w="4252" w:type="dxa"/>
          </w:tcPr>
          <w:p w14:paraId="1CAF5C7D"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14:paraId="037BC651"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44577C4C" w14:textId="77777777" w:rsidR="00B20325" w:rsidRPr="0051287A" w:rsidRDefault="00B20325" w:rsidP="006E2B37">
            <w:pPr>
              <w:rPr>
                <w:sz w:val="20"/>
                <w:szCs w:val="20"/>
              </w:rPr>
            </w:pPr>
            <w:r w:rsidRPr="0051287A">
              <w:rPr>
                <w:sz w:val="20"/>
                <w:szCs w:val="20"/>
              </w:rPr>
              <w:t>Protection from harm</w:t>
            </w:r>
          </w:p>
        </w:tc>
        <w:tc>
          <w:tcPr>
            <w:tcW w:w="4111" w:type="dxa"/>
          </w:tcPr>
          <w:p w14:paraId="6B483909"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4CC10EC5"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25608930"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14:paraId="7E14080C" w14:textId="77777777" w:rsidTr="006E2B37">
        <w:tc>
          <w:tcPr>
            <w:cnfStyle w:val="001000000000" w:firstRow="0" w:lastRow="0" w:firstColumn="1" w:lastColumn="0" w:oddVBand="0" w:evenVBand="0" w:oddHBand="0" w:evenHBand="0" w:firstRowFirstColumn="0" w:firstRowLastColumn="0" w:lastRowFirstColumn="0" w:lastRowLastColumn="0"/>
            <w:tcW w:w="1980" w:type="dxa"/>
          </w:tcPr>
          <w:p w14:paraId="3E73B6AA" w14:textId="77777777" w:rsidR="00B20325" w:rsidRPr="0051287A" w:rsidRDefault="00B20325" w:rsidP="006E2B37">
            <w:pPr>
              <w:rPr>
                <w:sz w:val="20"/>
                <w:szCs w:val="20"/>
              </w:rPr>
            </w:pPr>
            <w:r>
              <w:rPr>
                <w:sz w:val="20"/>
                <w:szCs w:val="20"/>
              </w:rPr>
              <w:t>Professional codes of practice and ethics</w:t>
            </w:r>
          </w:p>
        </w:tc>
        <w:tc>
          <w:tcPr>
            <w:tcW w:w="4111" w:type="dxa"/>
          </w:tcPr>
          <w:p w14:paraId="78337C29"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allows participants to understand the purpose of the study, the researchers must state their intentions. </w:t>
            </w:r>
            <w:r w:rsidRPr="0051287A">
              <w:rPr>
                <w:sz w:val="20"/>
                <w:szCs w:val="20"/>
              </w:rPr>
              <w:t>(TM470 course team, 2012)</w:t>
            </w:r>
          </w:p>
        </w:tc>
        <w:tc>
          <w:tcPr>
            <w:tcW w:w="4394" w:type="dxa"/>
          </w:tcPr>
          <w:p w14:paraId="6A2F1A04"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2C0605AA" w14:textId="77777777"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14:paraId="5CFAEF92" w14:textId="77777777" w:rsidTr="006E2B37">
        <w:tc>
          <w:tcPr>
            <w:tcW w:w="1980" w:type="dxa"/>
          </w:tcPr>
          <w:p w14:paraId="6185A486" w14:textId="77777777" w:rsidR="00B20325" w:rsidRDefault="00B20325" w:rsidP="006E2B37">
            <w:pPr>
              <w:cnfStyle w:val="001000000000" w:firstRow="0" w:lastRow="0" w:firstColumn="1" w:lastColumn="0" w:oddVBand="0" w:evenVBand="0" w:oddHBand="0" w:evenHBand="0" w:firstRowFirstColumn="0" w:firstRowLastColumn="0" w:lastRowFirstColumn="0" w:lastRowLastColumn="0"/>
              <w:rPr>
                <w:sz w:val="20"/>
                <w:szCs w:val="20"/>
              </w:rPr>
            </w:pPr>
            <w:r>
              <w:rPr>
                <w:sz w:val="20"/>
                <w:szCs w:val="20"/>
              </w:rPr>
              <w:t xml:space="preserve">BCS Code of Conduct </w:t>
            </w:r>
          </w:p>
        </w:tc>
        <w:tc>
          <w:tcPr>
            <w:tcW w:w="4111" w:type="dxa"/>
          </w:tcPr>
          <w:p w14:paraId="5F05A5BC" w14:textId="77777777" w:rsidR="00B20325" w:rsidRDefault="00B20325" w:rsidP="006E2B37">
            <w:pPr>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76B3FD34" w14:textId="03BC7EFE" w:rsidR="00B20325" w:rsidRDefault="00B20325" w:rsidP="006E2B37">
            <w:pPr>
              <w:rPr>
                <w:sz w:val="20"/>
                <w:szCs w:val="20"/>
              </w:rPr>
            </w:pPr>
            <w:r>
              <w:rPr>
                <w:sz w:val="20"/>
                <w:szCs w:val="20"/>
              </w:rPr>
              <w:t>This will not affect me directly because I’m not a member of the BCS, however, I should try to comply with the standards set out by the BCS</w:t>
            </w:r>
            <w:r w:rsidR="00BB7522">
              <w:rPr>
                <w:sz w:val="20"/>
                <w:szCs w:val="20"/>
              </w:rPr>
              <w:t xml:space="preserve"> such as honesty with my skillset and acknowledgment to any borrowed source code used in my project.</w:t>
            </w:r>
          </w:p>
        </w:tc>
        <w:tc>
          <w:tcPr>
            <w:tcW w:w="4252" w:type="dxa"/>
          </w:tcPr>
          <w:p w14:paraId="7205A0E9" w14:textId="6F53E234" w:rsidR="00B20325" w:rsidRPr="0051287A" w:rsidRDefault="00266D89" w:rsidP="006E2B37">
            <w:pPr>
              <w:rPr>
                <w:sz w:val="20"/>
                <w:szCs w:val="20"/>
              </w:rPr>
            </w:pPr>
            <w:r>
              <w:rPr>
                <w:sz w:val="20"/>
                <w:szCs w:val="20"/>
              </w:rPr>
              <w:t>I must ensure that borrowed code is acknowledged and I am not overexaggerating my skillset.</w:t>
            </w:r>
            <w:bookmarkStart w:id="0" w:name="_GoBack"/>
            <w:bookmarkEnd w:id="0"/>
          </w:p>
        </w:tc>
      </w:tr>
    </w:tbl>
    <w:p w14:paraId="21C5A7A8" w14:textId="77777777" w:rsidR="00C470EA" w:rsidRDefault="00C470EA"/>
    <w:p w14:paraId="36BD95EC" w14:textId="77777777" w:rsidR="00B20325" w:rsidRDefault="00B20325" w:rsidP="00B20325">
      <w:r>
        <w:lastRenderedPageBreak/>
        <w:t>References</w:t>
      </w:r>
    </w:p>
    <w:p w14:paraId="222D59ED" w14:textId="77777777" w:rsidR="00B20325" w:rsidRDefault="00B20325" w:rsidP="00B20325">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4"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40DF8EBF" w14:textId="77777777" w:rsidR="00B20325" w:rsidRPr="001D29A1" w:rsidRDefault="00B20325" w:rsidP="00B20325">
      <w:r>
        <w:rPr>
          <w:sz w:val="20"/>
          <w:szCs w:val="20"/>
        </w:rPr>
        <w:t xml:space="preserve">UK Government (2015) </w:t>
      </w:r>
      <w:r>
        <w:rPr>
          <w:i/>
          <w:iCs/>
          <w:sz w:val="20"/>
          <w:szCs w:val="20"/>
        </w:rPr>
        <w:t>Equality Act 2010: guidance</w:t>
      </w:r>
      <w:r>
        <w:rPr>
          <w:sz w:val="20"/>
          <w:szCs w:val="20"/>
        </w:rPr>
        <w:t xml:space="preserve"> [Online]. Available at </w:t>
      </w:r>
      <w:hyperlink r:id="rId5"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5B741153" w14:textId="77777777" w:rsidR="00B20325" w:rsidRPr="00340A81" w:rsidRDefault="00B20325" w:rsidP="00B20325">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6"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0EC97220" w14:textId="77777777" w:rsidR="00B20325" w:rsidRPr="001123DE" w:rsidRDefault="00B20325" w:rsidP="00B20325">
      <w:pPr>
        <w:rPr>
          <w:sz w:val="20"/>
          <w:szCs w:val="20"/>
        </w:rPr>
      </w:pPr>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7"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612BE85A" w14:textId="77777777" w:rsidR="00B20325" w:rsidRDefault="00B20325" w:rsidP="00B20325">
      <w:pPr>
        <w:rPr>
          <w:sz w:val="20"/>
          <w:szCs w:val="20"/>
        </w:rPr>
      </w:pPr>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8"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6C7D9D68" w14:textId="77777777" w:rsidR="00B20325" w:rsidRDefault="00B20325" w:rsidP="00B20325">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9"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2A0CA162" w14:textId="77777777" w:rsidR="00B20325" w:rsidRDefault="00B20325" w:rsidP="00B20325">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0"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4197F728" w14:textId="77777777" w:rsidR="00B20325" w:rsidRPr="001123DE" w:rsidRDefault="00B20325" w:rsidP="00B20325">
      <w:pPr>
        <w:rPr>
          <w:sz w:val="20"/>
          <w:szCs w:val="20"/>
        </w:rPr>
      </w:pPr>
    </w:p>
    <w:p w14:paraId="7DF1891A" w14:textId="77777777" w:rsidR="00B20325" w:rsidRDefault="00B20325"/>
    <w:sectPr w:rsidR="00B20325" w:rsidSect="00B203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55"/>
    <w:rsid w:val="00266D89"/>
    <w:rsid w:val="00697C3A"/>
    <w:rsid w:val="00A27255"/>
    <w:rsid w:val="00B20325"/>
    <w:rsid w:val="00BB7522"/>
    <w:rsid w:val="00C47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BA84"/>
  <w15:chartTrackingRefBased/>
  <w15:docId w15:val="{AB652FE0-CFFD-4B3C-AF18-59C8B83B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0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B20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203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freedom-of-information/what-is-the-foi-act/" TargetMode="External"/><Relationship Id="rId3" Type="http://schemas.openxmlformats.org/officeDocument/2006/relationships/webSettings" Target="webSettings.xml"/><Relationship Id="rId7" Type="http://schemas.openxmlformats.org/officeDocument/2006/relationships/hyperlink" Target="https://www.gov.uk/copyrigh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gislation.gov.uk/ukpga/1990/18" TargetMode="External"/><Relationship Id="rId11" Type="http://schemas.openxmlformats.org/officeDocument/2006/relationships/fontTable" Target="fontTable.xml"/><Relationship Id="rId5" Type="http://schemas.openxmlformats.org/officeDocument/2006/relationships/hyperlink" Target="https://www.gov.uk/guidance/equality-act-2010-guidance" TargetMode="External"/><Relationship Id="rId10" Type="http://schemas.openxmlformats.org/officeDocument/2006/relationships/hyperlink" Target="https://cdn.bcs.org/bcs-org-media/2211/bcs-code-of-conduct.pdf" TargetMode="External"/><Relationship Id="rId4" Type="http://schemas.openxmlformats.org/officeDocument/2006/relationships/hyperlink" Target="https://www.gov.uk/data-protection" TargetMode="External"/><Relationship Id="rId9" Type="http://schemas.openxmlformats.org/officeDocument/2006/relationships/hyperlink" Target="https://learn2.open.ac.uk/mod/oucontent/view.php?id=11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 Blagg</cp:lastModifiedBy>
  <cp:revision>5</cp:revision>
  <dcterms:created xsi:type="dcterms:W3CDTF">2020-04-02T07:34:00Z</dcterms:created>
  <dcterms:modified xsi:type="dcterms:W3CDTF">2020-04-04T06:27:00Z</dcterms:modified>
</cp:coreProperties>
</file>