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AI Model Governance Guide</w:t>
      </w:r>
    </w:p>
    <w:p>
      <w:pPr>
        <w:jc w:val="center"/>
      </w:pPr>
      <w:r>
        <w:rPr>
          <w:color w:val="2E75B6"/>
          <w:sz w:val="28"/>
        </w:rPr>
        <w:t>Framework for Responsible AI Development, Deployment, and Monitoring</w:t>
      </w:r>
    </w:p>
    <w:p>
      <w:pPr>
        <w:jc w:val="center"/>
      </w:pPr>
      <w:r>
        <w:rPr>
          <w:sz w:val="22"/>
        </w:rPr>
        <w:t>Generated: February 25, 2026</w:t>
      </w:r>
    </w:p>
    <w:p>
      <w:r>
        <w:br w:type="page"/>
      </w:r>
    </w:p>
    <w:p>
      <w:pPr>
        <w:pStyle w:val="Heading1"/>
      </w:pPr>
      <w:r>
        <w:rPr>
          <w:rFonts w:ascii="Arial" w:hAnsi="Arial"/>
          <w:b/>
          <w:color w:val="1F4E79"/>
          <w:sz w:val="32"/>
        </w:rPr>
        <w:t>Why AI Governance Matters for HR</w:t>
      </w:r>
    </w:p>
    <w:p>
      <w:r>
        <w:t>AI systems used in HR applications directly impact employee and candidate experiences, career opportunities, and organizational decision-making. Without proper governance, AI systems can perpetuate bias, produce unfair outcomes, and expose organizations to legal and reputational risk. This guide establishes governance practices ensuring AI systems are fair, transparent, and aligned with organizational values.</w:t>
      </w:r>
    </w:p>
    <w:p>
      <w:r>
        <w:t>HR is particularly sensitive to AI governance because: recruitment and promotion decisions have significant career implications for individuals; AI bias can perpetuate historical discrimination; regulatory bodies increasingly scrutinize algorithmic decision-making; and public attention to AI fairness is high. Organizations implementing strong AI governance in HR build competitive advantage and stakeholder trust.</w:t>
      </w:r>
    </w:p>
    <w:p>
      <w:pPr>
        <w:pStyle w:val="Heading1"/>
      </w:pPr>
      <w:r>
        <w:rPr>
          <w:rFonts w:ascii="Arial" w:hAnsi="Arial"/>
          <w:b/>
          <w:color w:val="1F4E79"/>
          <w:sz w:val="32"/>
        </w:rPr>
        <w:t>Model Risk Framework</w:t>
      </w:r>
    </w:p>
    <w:p>
      <w:pPr>
        <w:pStyle w:val="Heading2"/>
      </w:pPr>
      <w:r>
        <w:rPr>
          <w:rFonts w:ascii="Arial" w:hAnsi="Arial"/>
          <w:b/>
          <w:color w:val="2E75B6"/>
          <w:sz w:val="28"/>
        </w:rPr>
        <w:t>Model Risk Oversight (SR 11-7 / OSFI E-23)</w:t>
      </w:r>
    </w:p>
    <w:p>
      <w:r>
        <w:t>The Federal Reserve's SR 11-7 guidance (and OSFI's equivalent E-23 guidance) establishes framework for managing model risk. While originally targeted at financial institutions, the principles apply to any organization using models for consequential decision-making. Model risk includes development risk (incorrect models), implementation risk (model is correct but implemented incorrectly), and use risk (model used inappropriately).</w:t>
      </w:r>
    </w:p>
    <w:p>
      <w:r>
        <w:t>Model governance framework requires: independent model validation before deployment, ongoing model monitoring, documented model inventory, and clear accountability. Organizations should implement Model Risk Management frameworks aligned with SR 11-7 principles even if not directly regulated.</w:t>
      </w:r>
    </w:p>
    <w:p>
      <w:pPr>
        <w:pStyle w:val="Heading2"/>
      </w:pPr>
      <w:r>
        <w:rPr>
          <w:rFonts w:ascii="Arial" w:hAnsi="Arial"/>
          <w:b/>
          <w:color w:val="2E75B6"/>
          <w:sz w:val="28"/>
        </w:rPr>
        <w:t>Categorizing Model Risk</w:t>
      </w:r>
    </w:p>
    <w:p>
      <w:r>
        <w:t>Model risk categories determine governance requirements: Low-risk models (e.g., routine reporting) require minimal governance. Medium-risk models (e.g., candidate scoring used to identify promising applicants) require development standards, validation, and monitoring. High-risk models (e.g., decisions about hiring or promotion) require rigorous validation, bias testing, and executive oversight.</w:t>
      </w:r>
    </w:p>
    <w:p>
      <w:pPr>
        <w:pStyle w:val="Heading1"/>
      </w:pPr>
      <w:r>
        <w:rPr>
          <w:rFonts w:ascii="Arial" w:hAnsi="Arial"/>
          <w:b/>
          <w:color w:val="1F4E79"/>
          <w:sz w:val="32"/>
        </w:rPr>
        <w:t>Model Inventory and Registry</w:t>
      </w:r>
    </w:p>
    <w:p>
      <w:r>
        <w:t>Organizations must maintain an inventory of all AI models and algorithms used in HR decisions. The inventory enables tracking, monitoring, and governance. Each model entry includes: model name and purpose, owner and stakeholders, data sources, performance metrics, bias test results, deployment status, and last review date.</w:t>
      </w:r>
    </w:p>
    <w:p>
      <w:r>
        <w:t>The model registry is the central source of truth for AI systems. HR teams should reference the registry before developing new models to avoid duplication. The registry includes contact information for model owners enabling questions about model performance and assumptions.</w:t>
      </w:r>
    </w:p>
    <w:p>
      <w:pPr>
        <w:pStyle w:val="Heading1"/>
      </w:pPr>
      <w:r>
        <w:rPr>
          <w:rFonts w:ascii="Arial" w:hAnsi="Arial"/>
          <w:b/>
          <w:color w:val="1F4E79"/>
          <w:sz w:val="32"/>
        </w:rPr>
        <w:t>Model Development Standards</w:t>
      </w:r>
    </w:p>
    <w:p>
      <w:r>
        <w:t>Consistent development standards ensure models meet quality and fairness requirements. Development standards address data quality, feature engineering, model selection, training procedures, and documentation.</w:t>
      </w:r>
    </w:p>
    <w:p>
      <w:pPr>
        <w:pStyle w:val="Heading2"/>
      </w:pPr>
      <w:r>
        <w:rPr>
          <w:rFonts w:ascii="Arial" w:hAnsi="Arial"/>
          <w:b/>
          <w:color w:val="2E75B6"/>
          <w:sz w:val="28"/>
        </w:rPr>
        <w:t>Data Quality Requirements</w:t>
      </w:r>
    </w:p>
    <w:p>
      <w:r>
        <w:t>Training data must be representative of the population on which the model will be used. Data completeness requirements depend on model risk level. Missing data patterns are documented and justified. Data quality issues are addressed before model training. Data provenance is documented.</w:t>
      </w:r>
    </w:p>
    <w:p>
      <w:pPr>
        <w:pStyle w:val="Heading2"/>
      </w:pPr>
      <w:r>
        <w:rPr>
          <w:rFonts w:ascii="Arial" w:hAnsi="Arial"/>
          <w:b/>
          <w:color w:val="2E75B6"/>
          <w:sz w:val="28"/>
        </w:rPr>
        <w:t>Feature Engineering</w:t>
      </w:r>
    </w:p>
    <w:p>
      <w:r>
        <w:t>Features should be interpretable and defensible. Protected characteristics (gender, age, ethnicity) should not be used directly as features. Feature importance analysis identifies which inputs drive model predictions. Feature engineering is documented with rationale. Alternative features are considered.</w:t>
      </w:r>
    </w:p>
    <w:p>
      <w:pPr>
        <w:pStyle w:val="Heading2"/>
      </w:pPr>
      <w:r>
        <w:rPr>
          <w:rFonts w:ascii="Arial" w:hAnsi="Arial"/>
          <w:b/>
          <w:color w:val="2E75B6"/>
          <w:sz w:val="28"/>
        </w:rPr>
        <w:t>Model Selection and Testing</w:t>
      </w:r>
    </w:p>
    <w:p>
      <w:r>
        <w:t>Multiple algorithms should be considered before selecting a model. Model performance is evaluated on multiple metrics appropriate to the use case. Models are tested on different population segments to detect performance disparities. Model assumptions are documented. Model limitations are clearly stated.</w:t>
      </w:r>
    </w:p>
    <w:p>
      <w:pPr>
        <w:pStyle w:val="Heading1"/>
      </w:pPr>
      <w:r>
        <w:rPr>
          <w:rFonts w:ascii="Arial" w:hAnsi="Arial"/>
          <w:b/>
          <w:color w:val="1F4E79"/>
          <w:sz w:val="32"/>
        </w:rPr>
        <w:t>Model Approval Process</w:t>
      </w:r>
    </w:p>
    <w:p>
      <w:r>
        <w:t>Models must be reviewed and approved before production deployment. The approval process includes technical validation, bias assessment, and business review. High-risk models require executive approval.</w:t>
      </w:r>
    </w:p>
    <w:p>
      <w:pPr>
        <w:pStyle w:val="Heading2"/>
      </w:pPr>
      <w:r>
        <w:rPr>
          <w:rFonts w:ascii="Arial" w:hAnsi="Arial"/>
          <w:b/>
          <w:color w:val="2E75B6"/>
          <w:sz w:val="28"/>
        </w:rPr>
        <w:t>Technical Validation</w:t>
      </w:r>
    </w:p>
    <w:p>
      <w:r>
        <w:t>Independent validators (not the model developers) review model design, training procedures, and test results. Validators confirm that model meets documented performance requirements. Validators assess robustness to data changes and edge cases. Back-testing verifies model performance on historical data.</w:t>
      </w:r>
    </w:p>
    <w:p>
      <w:pPr>
        <w:pStyle w:val="Heading2"/>
      </w:pPr>
      <w:r>
        <w:rPr>
          <w:rFonts w:ascii="Arial" w:hAnsi="Arial"/>
          <w:b/>
          <w:color w:val="2E75B6"/>
          <w:sz w:val="28"/>
        </w:rPr>
        <w:t>Bias Assessment</w:t>
      </w:r>
    </w:p>
    <w:p>
      <w:r>
        <w:t>Bias assessment evaluates whether model produces fair outcomes across protected characteristics. Testing includes: performance parity across groups, disparate impact analysis, and fairness metrics. Models with acceptable bias levels are approved. Bias results are documented and shared with stakeholders.</w:t>
      </w:r>
    </w:p>
    <w:p>
      <w:pPr>
        <w:pStyle w:val="Heading2"/>
      </w:pPr>
      <w:r>
        <w:rPr>
          <w:rFonts w:ascii="Arial" w:hAnsi="Arial"/>
          <w:b/>
          <w:color w:val="2E75B6"/>
          <w:sz w:val="28"/>
        </w:rPr>
        <w:t>Business Approval</w:t>
      </w:r>
    </w:p>
    <w:p>
      <w:r>
        <w:t>Model owners and stakeholders review model results and use cases. They assess whether model aligns with business objectives and organizational values. For high-risk models, executive-level approval is required. Approval decisions are documented with rationale.</w:t>
      </w:r>
    </w:p>
    <w:p>
      <w:pPr>
        <w:pStyle w:val="Heading1"/>
      </w:pPr>
      <w:r>
        <w:rPr>
          <w:rFonts w:ascii="Arial" w:hAnsi="Arial"/>
          <w:b/>
          <w:color w:val="1F4E79"/>
          <w:sz w:val="32"/>
        </w:rPr>
        <w:t>Human-in-the-Loop Requirements</w:t>
      </w:r>
    </w:p>
    <w:p>
      <w:r>
        <w:t>While AI models can improve decision efficiency, human judgment remains essential in HR decisions. Human-in-the-loop approaches ensure AI augments rather than replaces human decision-making.</w:t>
      </w:r>
    </w:p>
    <w:p>
      <w:pPr>
        <w:pStyle w:val="Heading2"/>
      </w:pPr>
      <w:r>
        <w:rPr>
          <w:rFonts w:ascii="Arial" w:hAnsi="Arial"/>
          <w:b/>
          <w:color w:val="2E75B6"/>
          <w:sz w:val="28"/>
        </w:rPr>
        <w:t>Explainability for Decision-Makers</w:t>
      </w:r>
    </w:p>
    <w:p>
      <w:r>
        <w:t>When models influence HR decisions, decision-makers must understand model recommendations. Models should provide explanations of predictions in understandable language. Feature importance should be visible to users. Models should highlight when predictions are uncertain.</w:t>
      </w:r>
    </w:p>
    <w:p>
      <w:pPr>
        <w:pStyle w:val="Heading2"/>
      </w:pPr>
      <w:r>
        <w:rPr>
          <w:rFonts w:ascii="Arial" w:hAnsi="Arial"/>
          <w:b/>
          <w:color w:val="2E75B6"/>
          <w:sz w:val="28"/>
        </w:rPr>
        <w:t>Mandatory Human Review</w:t>
      </w:r>
    </w:p>
    <w:p>
      <w:r>
        <w:t>Models should not automatically determine HR decisions. Human reviewers should assess model recommendations and make final decisions. For high-impact decisions (hiring, termination), multiple human reviewers are recommended. Humans can override model recommendations with documented rationale.</w:t>
      </w:r>
    </w:p>
    <w:p>
      <w:pPr>
        <w:pStyle w:val="Heading2"/>
      </w:pPr>
      <w:r>
        <w:rPr>
          <w:rFonts w:ascii="Arial" w:hAnsi="Arial"/>
          <w:b/>
          <w:color w:val="2E75B6"/>
          <w:sz w:val="28"/>
        </w:rPr>
        <w:t>Appeal and Recourse</w:t>
      </w:r>
    </w:p>
    <w:p>
      <w:r>
        <w:t>Individuals affected by model-influenced decisions should have recourse. Candidates denied positions based partly on models should understand the rationale. Employees can request reconsideration if they believe model assessment is incorrect. Appeal procedures are documented and accessible.</w:t>
      </w:r>
    </w:p>
    <w:p>
      <w:pPr>
        <w:pStyle w:val="Heading1"/>
      </w:pPr>
      <w:r>
        <w:rPr>
          <w:rFonts w:ascii="Arial" w:hAnsi="Arial"/>
          <w:b/>
          <w:color w:val="1F4E79"/>
          <w:sz w:val="32"/>
        </w:rPr>
        <w:t>Ongoing Model Monitoring</w:t>
      </w:r>
    </w:p>
    <w:p>
      <w:r>
        <w:t>Production models require ongoing monitoring to detect performance degradation and bias drift. Regular monitoring ensures models remain fair and effective over time.</w:t>
      </w:r>
    </w:p>
    <w:p>
      <w:pPr>
        <w:pStyle w:val="Heading2"/>
      </w:pPr>
      <w:r>
        <w:rPr>
          <w:rFonts w:ascii="Arial" w:hAnsi="Arial"/>
          <w:b/>
          <w:color w:val="2E75B6"/>
          <w:sz w:val="28"/>
        </w:rPr>
        <w:t>Performance Monitoring</w:t>
      </w:r>
    </w:p>
    <w:p>
      <w:r>
        <w:t>Model performance metrics are tracked continuously. Performance degradation indicates model may need retraining. Data drift (changes in input data distribution) is monitored. Model monitoring dashboards display key metrics. Alerts trigger when performance falls below thresholds.</w:t>
      </w:r>
    </w:p>
    <w:p>
      <w:pPr>
        <w:pStyle w:val="Heading2"/>
      </w:pPr>
      <w:r>
        <w:rPr>
          <w:rFonts w:ascii="Arial" w:hAnsi="Arial"/>
          <w:b/>
          <w:color w:val="2E75B6"/>
          <w:sz w:val="28"/>
        </w:rPr>
        <w:t>Bias Drift Detection</w:t>
      </w:r>
    </w:p>
    <w:p>
      <w:r>
        <w:t>Fairness metrics are calculated monthly. Fairness metrics are tracked over time to detect bias drift. If fairness degrades, models may require retraining on current data. Stakeholders are notified if models no longer meet fairness requirements. Bias drift investigations document root causes.</w:t>
      </w:r>
    </w:p>
    <w:p>
      <w:pPr>
        <w:pStyle w:val="Heading1"/>
      </w:pPr>
      <w:r>
        <w:rPr>
          <w:rFonts w:ascii="Arial" w:hAnsi="Arial"/>
          <w:b/>
          <w:color w:val="1F4E79"/>
          <w:sz w:val="32"/>
        </w:rPr>
        <w:t>Model Retirement and Replacement</w:t>
      </w:r>
    </w:p>
    <w:p>
      <w:r>
        <w:t>Models eventually become obsolete and should be retired. Planned retirement ensures smooth transition to replacement models. Historical decisions made by retired models are preserved for audit and legal purposes.</w:t>
      </w:r>
    </w:p>
    <w:p>
      <w:pPr>
        <w:pStyle w:val="Heading2"/>
      </w:pPr>
      <w:r>
        <w:rPr>
          <w:rFonts w:ascii="Arial" w:hAnsi="Arial"/>
          <w:b/>
          <w:color w:val="2E75B6"/>
          <w:sz w:val="28"/>
        </w:rPr>
        <w:t>Retirement Planning</w:t>
      </w:r>
    </w:p>
    <w:p>
      <w:r>
        <w:t>Model owners plan retirement timelines when performance degrades or business requirements change. Replacement models are developed and validated before retiring existing models. Users are notified of model transitions. Historical model predictions and decisions are archived for audit purposes.</w:t>
      </w:r>
    </w:p>
    <w:p>
      <w:pPr>
        <w:pStyle w:val="Heading1"/>
      </w:pPr>
      <w:r>
        <w:rPr>
          <w:rFonts w:ascii="Arial" w:hAnsi="Arial"/>
          <w:b/>
          <w:color w:val="1F4E79"/>
          <w:sz w:val="32"/>
        </w:rPr>
        <w:t>Generative AI Governance</w:t>
      </w:r>
    </w:p>
    <w:p>
      <w:r>
        <w:t>Generative AI (Large Language Models) introduces additional governance considerations. GenAI systems can generate inappropriate or confidential information if not carefully managed. Organizations should establish specific governance for GenAI systems used in HR.</w:t>
      </w:r>
    </w:p>
    <w:p>
      <w:pPr>
        <w:pStyle w:val="Heading2"/>
      </w:pPr>
      <w:r>
        <w:rPr>
          <w:rFonts w:ascii="Arial" w:hAnsi="Arial"/>
          <w:b/>
          <w:color w:val="2E75B6"/>
          <w:sz w:val="28"/>
        </w:rPr>
        <w:t>Data Privacy in GenAI</w:t>
      </w:r>
    </w:p>
    <w:p>
      <w:r>
        <w:t>GenAI systems should never be trained on confidential HR data without explicit safeguards. Outputs should be reviewed to ensure no confidential information is leaked. Third-party GenAI services should have data processing agreements addressing data confidentiality. Internal GenAI models should be trained only on sanitized data.</w:t>
      </w:r>
    </w:p>
    <w:p>
      <w:pPr>
        <w:pStyle w:val="Heading2"/>
      </w:pPr>
      <w:r>
        <w:rPr>
          <w:rFonts w:ascii="Arial" w:hAnsi="Arial"/>
          <w:b/>
          <w:color w:val="2E75B6"/>
          <w:sz w:val="28"/>
        </w:rPr>
        <w:t>Transparency and Disclosure</w:t>
      </w:r>
    </w:p>
    <w:p>
      <w:r>
        <w:t>When GenAI is used in HR processes, employees and candidates should be informed. The use of AI in hiring, performance assessment, or other HR decisions should be disclosed. Organizations should be transparent about limitations and risks of AI systems.</w:t>
      </w:r>
    </w:p>
    <w:p>
      <w:r>
        <w:br w:type="page"/>
      </w:r>
    </w:p>
    <w:p>
      <w:pPr>
        <w:pStyle w:val="Heading1"/>
      </w:pPr>
      <w:r>
        <w:rPr>
          <w:rFonts w:ascii="Arial" w:hAnsi="Arial"/>
          <w:b/>
          <w:color w:val="1F4E79"/>
          <w:sz w:val="32"/>
        </w:rPr>
        <w:t>AI Model Deployment Checklist</w:t>
      </w:r>
    </w:p>
    <w:p>
      <w:r>
        <w:t>Before deploying any AI model in production, verify the following:</w:t>
      </w:r>
    </w:p>
    <w:p>
      <w:pPr>
        <w:pStyle w:val="ListBullet"/>
      </w:pPr>
      <w:r>
        <w:t>Model has been independently validated</w:t>
      </w:r>
    </w:p>
    <w:p>
      <w:pPr>
        <w:pStyle w:val="ListBullet"/>
      </w:pPr>
      <w:r>
        <w:t>Bias assessment completed with acceptable results</w:t>
      </w:r>
    </w:p>
    <w:p>
      <w:pPr>
        <w:pStyle w:val="ListBullet"/>
      </w:pPr>
      <w:r>
        <w:t>Model approved by business owner</w:t>
      </w:r>
    </w:p>
    <w:p>
      <w:pPr>
        <w:pStyle w:val="ListBullet"/>
      </w:pPr>
      <w:r>
        <w:t>Data quality requirements documented and met</w:t>
      </w:r>
    </w:p>
    <w:p>
      <w:pPr>
        <w:pStyle w:val="ListBullet"/>
      </w:pPr>
      <w:r>
        <w:t>Model documented in model registry</w:t>
      </w:r>
    </w:p>
    <w:p>
      <w:pPr>
        <w:pStyle w:val="ListBullet"/>
      </w:pPr>
      <w:r>
        <w:t>Model explainability verified for decision-makers</w:t>
      </w:r>
    </w:p>
    <w:p>
      <w:pPr>
        <w:pStyle w:val="ListBullet"/>
      </w:pPr>
      <w:r>
        <w:t>Human-in-the-loop process defined</w:t>
      </w:r>
    </w:p>
    <w:p>
      <w:pPr>
        <w:pStyle w:val="ListBullet"/>
      </w:pPr>
      <w:r>
        <w:t>Monitoring dashboards configured</w:t>
      </w:r>
    </w:p>
    <w:p>
      <w:pPr>
        <w:pStyle w:val="ListBullet"/>
      </w:pPr>
      <w:r>
        <w:t>Performance baselines established</w:t>
      </w:r>
    </w:p>
    <w:p>
      <w:pPr>
        <w:pStyle w:val="ListBullet"/>
      </w:pPr>
      <w:r>
        <w:t>Bias metrics baselines established</w:t>
      </w:r>
    </w:p>
    <w:p>
      <w:pPr>
        <w:pStyle w:val="ListBullet"/>
      </w:pPr>
      <w:r>
        <w:t>Audit logging configured</w:t>
      </w:r>
    </w:p>
    <w:p>
      <w:pPr>
        <w:pStyle w:val="ListBullet"/>
      </w:pPr>
      <w:r>
        <w:t>Rollback plan documented</w:t>
      </w:r>
    </w:p>
    <w:p>
      <w:pPr>
        <w:pStyle w:val="ListBullet"/>
      </w:pPr>
      <w:r>
        <w:t>User training completed</w:t>
      </w:r>
    </w:p>
    <w:p>
      <w:pPr>
        <w:pStyle w:val="ListBullet"/>
      </w:pPr>
      <w:r>
        <w:t>Appeal and recourse process documented</w:t>
      </w:r>
    </w:p>
    <w:p>
      <w:pPr>
        <w:pStyle w:val="ListBullet"/>
      </w:pPr>
      <w:r>
        <w:t>Legal review completed for high-risk models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9"/>
        <w:sz w:val="20"/>
      </w:rPr>
      <w:t>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