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HR Analytics Data Governance Guide</w:t>
      </w:r>
    </w:p>
    <w:p>
      <w:pPr>
        <w:jc w:val="center"/>
      </w:pPr>
      <w:r>
        <w:rPr>
          <w:color w:val="2E75B6"/>
          <w:sz w:val="28"/>
        </w:rPr>
        <w:t>Comprehensive Framework for Data Management, Security, and Compliance</w:t>
      </w:r>
    </w:p>
    <w:p>
      <w:pPr>
        <w:jc w:val="center"/>
      </w:pPr>
      <w:r>
        <w:rPr>
          <w:sz w:val="22"/>
        </w:rPr>
        <w:t>Generated: February 25, 2026</w:t>
      </w:r>
    </w:p>
    <w:p>
      <w:r>
        <w:br w:type="page"/>
      </w:r>
    </w:p>
    <w:p>
      <w:pPr>
        <w:pStyle w:val="Heading1"/>
      </w:pPr>
      <w:r>
        <w:rPr>
          <w:rFonts w:ascii="Arial" w:hAnsi="Arial"/>
          <w:b/>
          <w:color w:val="1F4E79"/>
          <w:sz w:val="32"/>
        </w:rPr>
        <w:t>Executive Summary</w:t>
      </w:r>
    </w:p>
    <w:p>
      <w:r>
        <w:t>This Data Governance Guide establishes comprehensive policies and procedures for managing HR analytics data. The guide addresses regulatory requirements including PIPEDA and OSFI guidelines, establishes a data classification framework, defines ownership models, and specifies access control architecture. Organizations implementing this framework ensure data integrity, security, and regulatory compliance across all HR analytics initiatives.</w:t>
      </w:r>
    </w:p>
    <w:p>
      <w:pPr>
        <w:pStyle w:val="Heading1"/>
      </w:pPr>
      <w:r>
        <w:rPr>
          <w:rFonts w:ascii="Arial" w:hAnsi="Arial"/>
          <w:b/>
          <w:color w:val="1F4E79"/>
          <w:sz w:val="32"/>
        </w:rPr>
        <w:t>Regulatory Context</w:t>
      </w:r>
    </w:p>
    <w:p>
      <w:pPr>
        <w:pStyle w:val="Heading2"/>
      </w:pPr>
      <w:r>
        <w:rPr>
          <w:rFonts w:ascii="Arial" w:hAnsi="Arial"/>
          <w:b/>
          <w:color w:val="2E75B6"/>
          <w:sz w:val="28"/>
        </w:rPr>
        <w:t>PIPEDA - Personal Information Protection and Electronic Documents Act</w:t>
      </w:r>
    </w:p>
    <w:p>
      <w:r>
        <w:t>PIPEDA is Canada's federal privacy law governing collection, use, and disclosure of personal information by private sector organizations. PIPEDA establishes principles including accountability, identifying purposes, obtaining consent, limiting collection, and safeguarding information. HR data is particularly sensitive under PIPEDA as it includes personal information about employees and candidates.</w:t>
      </w:r>
    </w:p>
    <w:p>
      <w:r>
        <w:t>Organizations must implement reasonable safeguards to protect personal information against loss and unauthorized access. Employee data must be collected only for identified purposes. Individuals have rights to request access and correction of their data. Organizations must handle privacy breaches promptly and notify affected individuals. PIPEDA compliance is critical for maintaining organizational reputation and avoiding legal liability.</w:t>
      </w:r>
    </w:p>
    <w:p>
      <w:pPr>
        <w:pStyle w:val="Heading2"/>
      </w:pPr>
      <w:r>
        <w:rPr>
          <w:rFonts w:ascii="Arial" w:hAnsi="Arial"/>
          <w:b/>
          <w:color w:val="2E75B6"/>
          <w:sz w:val="28"/>
        </w:rPr>
        <w:t>OSFI Guidance and E-23 Expectations</w:t>
      </w:r>
    </w:p>
    <w:p>
      <w:r>
        <w:t>The Office of the Superintendent of Financial Institutions (OSFI) provides guidance on information security and privacy for regulated financial institutions. While HR analytics may not directly involve financial data, OSFI expectations influence data governance across regulated organizations. OSFI expects organizations to implement information security programs protecting confidentiality, integrity, and availability of information systems.</w:t>
      </w:r>
    </w:p>
    <w:p>
      <w:r>
        <w:t>OSFI guidance includes requirements for access control, encryption, incident response, and third-party vendor management. Organizations must maintain audit logs for compliance verification. Data retention policies must balance operational needs with security risks. Board oversight of information security is expected for large institutions.</w:t>
      </w:r>
    </w:p>
    <w:p>
      <w:pPr>
        <w:pStyle w:val="Heading1"/>
      </w:pPr>
      <w:r>
        <w:rPr>
          <w:rFonts w:ascii="Arial" w:hAnsi="Arial"/>
          <w:b/>
          <w:color w:val="1F4E79"/>
          <w:sz w:val="32"/>
        </w:rPr>
        <w:t>Data Classification Framework</w:t>
      </w:r>
    </w:p>
    <w:p>
      <w:r>
        <w:t>A robust data classification framework is essential for applying appropriate security and access controls. Classification determines how data is stored, accessed, and retained. The following classification levels apply to HR analytics data:</w:t>
      </w:r>
    </w:p>
    <w:p>
      <w:pPr>
        <w:pStyle w:val="Heading2"/>
      </w:pPr>
      <w:r>
        <w:rPr>
          <w:rFonts w:ascii="Arial" w:hAnsi="Arial"/>
          <w:b/>
          <w:color w:val="2E75B6"/>
          <w:sz w:val="28"/>
        </w:rPr>
        <w:t>Public</w:t>
      </w:r>
    </w:p>
    <w:p>
      <w:r>
        <w:t>Data that can be freely shared and has no restrictions. Examples include organizational structure, published salary bands (generalized), and job titles. Public data requires no special access controls. This classification is rare in HR analytics due to sensitivity of employee information.</w:t>
      </w:r>
    </w:p>
    <w:p>
      <w:pPr>
        <w:pStyle w:val="Heading2"/>
      </w:pPr>
      <w:r>
        <w:rPr>
          <w:rFonts w:ascii="Arial" w:hAnsi="Arial"/>
          <w:b/>
          <w:color w:val="2E75B6"/>
          <w:sz w:val="28"/>
        </w:rPr>
        <w:t>Internal</w:t>
      </w:r>
    </w:p>
    <w:p>
      <w:r>
        <w:t>Data for internal organizational use but not intended for public disclosure. Examples include aggregated headcount by department, internal training statistics, and organizational performance metrics. Internal data requires access restricted to employees with business need. Data is encrypted at rest and in transit.</w:t>
      </w:r>
    </w:p>
    <w:p>
      <w:pPr>
        <w:pStyle w:val="Heading2"/>
      </w:pPr>
      <w:r>
        <w:rPr>
          <w:rFonts w:ascii="Arial" w:hAnsi="Arial"/>
          <w:b/>
          <w:color w:val="2E75B6"/>
          <w:sz w:val="28"/>
        </w:rPr>
        <w:t>Confidential</w:t>
      </w:r>
    </w:p>
    <w:p>
      <w:r>
        <w:t>Sensitive data requiring strong protection. Examples include individual salary information, performance ratings, and compensation decisions. Confidential data access is limited to managers, HR personnel, and authorized analysts. Multi-factor authentication is required for access. Access logs are maintained for audit purposes.</w:t>
      </w:r>
    </w:p>
    <w:p>
      <w:pPr>
        <w:pStyle w:val="Heading2"/>
      </w:pPr>
      <w:r>
        <w:rPr>
          <w:rFonts w:ascii="Arial" w:hAnsi="Arial"/>
          <w:b/>
          <w:color w:val="2E75B6"/>
          <w:sz w:val="28"/>
        </w:rPr>
        <w:t>Restricted</w:t>
      </w:r>
    </w:p>
    <w:p>
      <w:r>
        <w:t>Highly sensitive personal information with strict legal protection. Examples include health information, disciplinary records, and personal background data. Restricted data is accessed only by authorized HR personnel. Access is logged and regularly reviewed. Data is retained only as long as legally necessary. Encryption and data masking are applied.</w:t>
      </w:r>
    </w:p>
    <w:p>
      <w:pPr>
        <w:pStyle w:val="Heading1"/>
      </w:pPr>
      <w:r>
        <w:rPr>
          <w:rFonts w:ascii="Arial" w:hAnsi="Arial"/>
          <w:b/>
          <w:color w:val="1F4E79"/>
          <w:sz w:val="32"/>
        </w:rPr>
        <w:t>Data Ownership Model</w:t>
      </w:r>
    </w:p>
    <w:p>
      <w:r>
        <w:t>Clear ownership and accountability are essential for effective data governance. The ownership model assigns roles and responsibilities for data management throughout its lifecycle.</w:t>
      </w:r>
    </w:p>
    <w:p>
      <w:pPr>
        <w:pStyle w:val="Heading2"/>
      </w:pPr>
      <w:r>
        <w:rPr>
          <w:rFonts w:ascii="Arial" w:hAnsi="Arial"/>
          <w:b/>
          <w:color w:val="2E75B6"/>
          <w:sz w:val="28"/>
        </w:rPr>
        <w:t>Data Owner</w:t>
      </w:r>
    </w:p>
    <w:p>
      <w:r>
        <w:t>Data Owners are responsible for defining business requirements for data, approving access requests, and ensuring data quality. Data Owners typically come from business units (HR, Finance) rather than IT. They approve classification levels, retention policies, and access controls. Data Owners approve creation of reports and analytics using their data.</w:t>
      </w:r>
    </w:p>
    <w:p>
      <w:pPr>
        <w:pStyle w:val="Heading2"/>
      </w:pPr>
      <w:r>
        <w:rPr>
          <w:rFonts w:ascii="Arial" w:hAnsi="Arial"/>
          <w:b/>
          <w:color w:val="2E75B6"/>
          <w:sz w:val="28"/>
        </w:rPr>
        <w:t>Data Steward</w:t>
      </w:r>
    </w:p>
    <w:p>
      <w:r>
        <w:t>Data Stewards ensure data quality, manage metadata, and facilitate communication between business and IT. Data Stewards document data definitions, manage data quality rules, and track data issues. They work with business units to understand data requirements and with IT to ensure technical implementation.</w:t>
      </w:r>
    </w:p>
    <w:p>
      <w:pPr>
        <w:pStyle w:val="Heading2"/>
      </w:pPr>
      <w:r>
        <w:rPr>
          <w:rFonts w:ascii="Arial" w:hAnsi="Arial"/>
          <w:b/>
          <w:color w:val="2E75B6"/>
          <w:sz w:val="28"/>
        </w:rPr>
        <w:t>System Administrator</w:t>
      </w:r>
    </w:p>
    <w:p>
      <w:r>
        <w:t>System Administrators manage technical aspects of data systems including access provisioning, backup and recovery, and security monitoring. Administrators implement access controls defined by Data Owners. They maintain audit logs and respond to security incidents. Administrators work under oversight of Data Owners for access decisions.</w:t>
      </w:r>
    </w:p>
    <w:p>
      <w:pPr>
        <w:pStyle w:val="Heading1"/>
      </w:pPr>
      <w:r>
        <w:rPr>
          <w:rFonts w:ascii="Arial" w:hAnsi="Arial"/>
          <w:b/>
          <w:color w:val="1F4E79"/>
          <w:sz w:val="32"/>
        </w:rPr>
        <w:t>Access Control Architecture</w:t>
      </w:r>
    </w:p>
    <w:p>
      <w:r>
        <w:t>Access control ensures that individuals access only the data necessary for their work while preventing unauthorized access. The architecture implements role-based and attribute-based access controls.</w:t>
      </w:r>
    </w:p>
    <w:p>
      <w:pPr>
        <w:pStyle w:val="Heading2"/>
      </w:pPr>
      <w:r>
        <w:rPr>
          <w:rFonts w:ascii="Arial" w:hAnsi="Arial"/>
          <w:b/>
          <w:color w:val="2E75B6"/>
          <w:sz w:val="28"/>
        </w:rPr>
        <w:t>Role-Based Access Control (RBAC)</w:t>
      </w:r>
    </w:p>
    <w:p>
      <w:r>
        <w:t>Access is determined by job role and responsibilities. Roles include: HR Analyst, HR Manager, Finance Analyst, Finance Manager, and Compliance Officer. Each role has predefined access to datasets and analytics. New employees are assigned roles based on their position. Role-based access is reviewed annually.</w:t>
      </w:r>
    </w:p>
    <w:p>
      <w:pPr>
        <w:pStyle w:val="Heading2"/>
      </w:pPr>
      <w:r>
        <w:rPr>
          <w:rFonts w:ascii="Arial" w:hAnsi="Arial"/>
          <w:b/>
          <w:color w:val="2E75B6"/>
          <w:sz w:val="28"/>
        </w:rPr>
        <w:t>Attribute-Based Access Control (ABAC)</w:t>
      </w:r>
    </w:p>
    <w:p>
      <w:r>
        <w:t>Access is also determined by attributes including department, location, and level. For example, managers access compensation data only for their direct reports. Finance analysts access data only for their assigned cost centers. Attribute-based rules are defined by Data Owners and enforced by Fabric's row-level security.</w:t>
      </w:r>
    </w:p>
    <w:p>
      <w:pPr>
        <w:pStyle w:val="Heading2"/>
      </w:pPr>
      <w:r>
        <w:rPr>
          <w:rFonts w:ascii="Arial" w:hAnsi="Arial"/>
          <w:b/>
          <w:color w:val="2E75B6"/>
          <w:sz w:val="28"/>
        </w:rPr>
        <w:t>Multi-Factor Authentication</w:t>
      </w:r>
    </w:p>
    <w:p>
      <w:r>
        <w:t>All access to confidential and restricted data requires multi-factor authentication. Users authenticate with credentials and a second factor (phone, authenticator app). Permanent access tokens for service accounts are prohibited. Service accounts use certificate-based authentication.</w:t>
      </w:r>
    </w:p>
    <w:p>
      <w:pPr>
        <w:pStyle w:val="Heading1"/>
      </w:pPr>
      <w:r>
        <w:rPr>
          <w:rFonts w:ascii="Arial" w:hAnsi="Arial"/>
          <w:b/>
          <w:color w:val="1F4E79"/>
          <w:sz w:val="32"/>
        </w:rPr>
        <w:t>Audit Requirements</w:t>
      </w:r>
    </w:p>
    <w:p>
      <w:r>
        <w:t>Comprehensive audit logs are essential for detecting unauthorized access and demonstrating compliance. The audit architecture captures all data access and modifications.</w:t>
      </w:r>
    </w:p>
    <w:p>
      <w:pPr>
        <w:pStyle w:val="Heading2"/>
      </w:pPr>
      <w:r>
        <w:rPr>
          <w:rFonts w:ascii="Arial" w:hAnsi="Arial"/>
          <w:b/>
          <w:color w:val="2E75B6"/>
          <w:sz w:val="28"/>
        </w:rPr>
        <w:t>Captured Audit Events</w:t>
      </w:r>
    </w:p>
    <w:p>
      <w:r>
        <w:t>Audit logs capture: successful and failed access attempts, data downloads and exports, report generation and distribution, data modifications, and access control changes. Each log entry includes timestamp, user, action, data affected, and outcome. Audit logs are protected from modification and retained for 7 years.</w:t>
      </w:r>
    </w:p>
    <w:p>
      <w:pPr>
        <w:pStyle w:val="Heading2"/>
      </w:pPr>
      <w:r>
        <w:rPr>
          <w:rFonts w:ascii="Arial" w:hAnsi="Arial"/>
          <w:b/>
          <w:color w:val="2E75B6"/>
          <w:sz w:val="28"/>
        </w:rPr>
        <w:t>Access Review Process</w:t>
      </w:r>
    </w:p>
    <w:p>
      <w:r>
        <w:t>Quarterly access reviews verify that users retain appropriate access. Data Owners review access lists for their data. Inappropriate access is remediated. Annual reviews are required for compliance certifications. Access reviews are documented and retained.</w:t>
      </w:r>
    </w:p>
    <w:p>
      <w:pPr>
        <w:pStyle w:val="Heading1"/>
      </w:pPr>
      <w:r>
        <w:rPr>
          <w:rFonts w:ascii="Arial" w:hAnsi="Arial"/>
          <w:b/>
          <w:color w:val="1F4E79"/>
          <w:sz w:val="32"/>
        </w:rPr>
        <w:t>AI Governance</w:t>
      </w:r>
    </w:p>
    <w:p>
      <w:r>
        <w:t>As organizations apply AI and machine learning to HR data, additional governance requirements apply. AI systems processing HR data must be reviewed and approved. Bias assessment is required before deployment. Regular monitoring detects performance degradation and bias drift.</w:t>
      </w:r>
    </w:p>
    <w:p>
      <w:pPr>
        <w:pStyle w:val="Heading2"/>
      </w:pPr>
      <w:r>
        <w:rPr>
          <w:rFonts w:ascii="Arial" w:hAnsi="Arial"/>
          <w:b/>
          <w:color w:val="2E75B6"/>
          <w:sz w:val="28"/>
        </w:rPr>
        <w:t>AI Model Review</w:t>
      </w:r>
    </w:p>
    <w:p>
      <w:r>
        <w:t>All AI models using HR data must be reviewed for potential bias and fairness issues. Models are tested on protected characteristics (gender, age, ethnicity) to detect disparate impact. Models involving hiring or compensation decisions receive additional scrutiny. Approval is required before production deployment.</w:t>
      </w:r>
    </w:p>
    <w:p>
      <w:pPr>
        <w:pStyle w:val="Heading1"/>
      </w:pPr>
      <w:r>
        <w:rPr>
          <w:rFonts w:ascii="Arial" w:hAnsi="Arial"/>
          <w:b/>
          <w:color w:val="1F4E79"/>
          <w:sz w:val="32"/>
        </w:rPr>
        <w:t>Data Lifecycle Management</w:t>
      </w:r>
    </w:p>
    <w:p>
      <w:r>
        <w:t>Data lifecycle policies address creation, use, retention, and deletion. Different data types have different retention requirements based on legal obligations and business needs.</w:t>
      </w:r>
    </w:p>
    <w:p>
      <w:pPr>
        <w:pStyle w:val="Heading2"/>
      </w:pPr>
      <w:r>
        <w:rPr>
          <w:rFonts w:ascii="Arial" w:hAnsi="Arial"/>
          <w:b/>
          <w:color w:val="2E75B6"/>
          <w:sz w:val="28"/>
        </w:rPr>
        <w:t>Data Creation and Ingestion</w:t>
      </w:r>
    </w:p>
    <w:p>
      <w:r>
        <w:t>New data sources are reviewed before ingestion. Classification and ownership are assigned. Data quality requirements are defined. Integration with existing systems is verified.</w:t>
      </w:r>
    </w:p>
    <w:p>
      <w:pPr>
        <w:pStyle w:val="Heading2"/>
      </w:pPr>
      <w:r>
        <w:rPr>
          <w:rFonts w:ascii="Arial" w:hAnsi="Arial"/>
          <w:b/>
          <w:color w:val="2E75B6"/>
          <w:sz w:val="28"/>
        </w:rPr>
        <w:t>Data Retention</w:t>
      </w:r>
    </w:p>
    <w:p>
      <w:r>
        <w:t>Retention periods are defined based on legal requirements and business needs. Active employee data is retained during employment plus 7 years after separation for record-keeping. Candidate data is retained for 1 year. Archival data is encrypted and stored separately. Regular reviews ensure old data is deleted.</w:t>
      </w:r>
    </w:p>
    <w:p>
      <w:pPr>
        <w:pStyle w:val="Heading1"/>
      </w:pPr>
      <w:r>
        <w:rPr>
          <w:rFonts w:ascii="Arial" w:hAnsi="Arial"/>
          <w:b/>
          <w:color w:val="1F4E79"/>
          <w:sz w:val="32"/>
        </w:rPr>
        <w:t>Vendor Considerations</w:t>
      </w:r>
    </w:p>
    <w:p>
      <w:r>
        <w:t>Third-party vendors and cloud services require data governance oversight. Vendors processing HR data must meet contractual data protection requirements.</w:t>
      </w:r>
    </w:p>
    <w:p>
      <w:pPr>
        <w:pStyle w:val="Heading2"/>
      </w:pPr>
      <w:r>
        <w:rPr>
          <w:rFonts w:ascii="Arial" w:hAnsi="Arial"/>
          <w:b/>
          <w:color w:val="2E75B6"/>
          <w:sz w:val="28"/>
        </w:rPr>
        <w:t>Vendor Assessment</w:t>
      </w:r>
    </w:p>
    <w:p>
      <w:r>
        <w:t>Before engaging vendors, security and privacy assessments are conducted. Vendors must demonstrate compliance with relevant security standards. Data Processing Agreements (DPA) must be in place for PIPEDA compliance. Regular vendor audits verify ongoing compliance.</w:t>
      </w:r>
    </w:p>
    <w:p>
      <w:pPr>
        <w:pStyle w:val="Heading2"/>
      </w:pPr>
      <w:r>
        <w:rPr>
          <w:rFonts w:ascii="Arial" w:hAnsi="Arial"/>
          <w:b/>
          <w:color w:val="2E75B6"/>
          <w:sz w:val="28"/>
        </w:rPr>
        <w:t>Data Residency</w:t>
      </w:r>
    </w:p>
    <w:p>
      <w:r>
        <w:t>HR data residency requirements may restrict where data is stored or processed. Canadian data is preferably stored in Canadian data centers. Cross-border data transfers require additional contractual protections. Vendor contracts specify residency requirements and prohibit unauthorized access.</w:t>
      </w:r>
    </w:p>
    <w:p>
      <w:r>
        <w:br w:type="page"/>
      </w:r>
    </w:p>
    <w:p>
      <w:pPr>
        <w:pStyle w:val="Heading1"/>
      </w:pPr>
      <w:r>
        <w:rPr>
          <w:rFonts w:ascii="Arial" w:hAnsi="Arial"/>
          <w:b/>
          <w:color w:val="1F4E79"/>
          <w:sz w:val="32"/>
        </w:rPr>
        <w:t>Governance Maturity Checklist</w:t>
      </w:r>
    </w:p>
    <w:p>
      <w:r>
        <w:t>Use this checklist to assess and improve data governance maturity:</w:t>
      </w:r>
    </w:p>
    <w:p>
      <w:pPr>
        <w:pStyle w:val="ListBullet"/>
      </w:pPr>
      <w:r>
        <w:t>Data classification framework is documented and applied</w:t>
      </w:r>
    </w:p>
    <w:p>
      <w:pPr>
        <w:pStyle w:val="ListBullet"/>
      </w:pPr>
      <w:r>
        <w:t>Data owners and stewards are identified and trained</w:t>
      </w:r>
    </w:p>
    <w:p>
      <w:pPr>
        <w:pStyle w:val="ListBullet"/>
      </w:pPr>
      <w:r>
        <w:t>Access control policies are defined and implemented</w:t>
      </w:r>
    </w:p>
    <w:p>
      <w:pPr>
        <w:pStyle w:val="ListBullet"/>
      </w:pPr>
      <w:r>
        <w:t>Multi-factor authentication is required for sensitive data</w:t>
      </w:r>
    </w:p>
    <w:p>
      <w:pPr>
        <w:pStyle w:val="ListBullet"/>
      </w:pPr>
      <w:r>
        <w:t>Audit logs are maintained and regularly reviewed</w:t>
      </w:r>
    </w:p>
    <w:p>
      <w:pPr>
        <w:pStyle w:val="ListBullet"/>
      </w:pPr>
      <w:r>
        <w:t>Access reviews are conducted quarterly</w:t>
      </w:r>
    </w:p>
    <w:p>
      <w:pPr>
        <w:pStyle w:val="ListBullet"/>
      </w:pPr>
      <w:r>
        <w:t>Data retention policies are documented and enforced</w:t>
      </w:r>
    </w:p>
    <w:p>
      <w:pPr>
        <w:pStyle w:val="ListBullet"/>
      </w:pPr>
      <w:r>
        <w:t>Incident response procedures are defined and tested</w:t>
      </w:r>
    </w:p>
    <w:p>
      <w:pPr>
        <w:pStyle w:val="ListBullet"/>
      </w:pPr>
      <w:r>
        <w:t>Vendor assessments are conducted before engagement</w:t>
      </w:r>
    </w:p>
    <w:p>
      <w:pPr>
        <w:pStyle w:val="ListBullet"/>
      </w:pPr>
      <w:r>
        <w:t>Data Processing Agreements are in place for all vendors</w:t>
      </w:r>
    </w:p>
    <w:p>
      <w:pPr>
        <w:pStyle w:val="ListBullet"/>
      </w:pPr>
      <w:r>
        <w:t>Employee privacy training is completed annually</w:t>
      </w:r>
    </w:p>
    <w:p>
      <w:pPr>
        <w:pStyle w:val="ListBullet"/>
      </w:pPr>
      <w:r>
        <w:t>Board or executive oversight of data governance is established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9"/>
        <w:sz w:val="20"/>
      </w:rPr>
      <w:t>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