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pPr>
      <w:r>
        <w:rPr>
          <w:b/>
          <w:color w:val="147D83"/>
          <w:sz w:val="18"/>
        </w:rPr>
        <w:t>SYSTEM DESIGN / IMPLEMENTATION SPECIFICATION</w:t>
      </w:r>
    </w:p>
    <w:p>
      <w:pPr>
        <w:pStyle w:val="Title"/>
        <w:spacing w:after="360"/>
      </w:pPr>
      <w:r>
        <w:t>Periodic</w:t>
        <w:br/>
        <w:t>Report System</w:t>
      </w:r>
    </w:p>
    <w:p>
      <w:pPr>
        <w:pStyle w:val="Subtitle"/>
        <w:spacing w:line="293" w:lineRule="auto"/>
      </w:pPr>
      <w:r>
        <w:t>Learn the reporting program.</w:t>
        <w:br/>
        <w:t>Generate one native report.</w:t>
        <w:br/>
        <w:t>Export through explicit format contracts.</w:t>
      </w:r>
    </w:p>
    <w:p>
      <w:pPr>
        <w:spacing w:before="400"/>
      </w:pPr>
      <w:r>
        <w:rPr>
          <w:sz w:val="24"/>
        </w:rPr>
        <w:t>A fresh architecture for example-driven, period-based reports across documents, workbooks, PDFs and presentations.</w:t>
      </w:r>
    </w:p>
    <w:p>
      <w:pPr>
        <w:pStyle w:val="SmallNote"/>
        <w:spacing w:before="460"/>
      </w:pPr>
      <w:r>
        <w:t>8 September 2026  /  Version 0.1</w:t>
      </w:r>
    </w:p>
    <w:p>
      <w:pPr>
        <w:pStyle w:val="SmallNote"/>
        <w:spacing w:before="480"/>
      </w:pPr>
      <w:r>
        <w:t>Proposed architecture with reference contracts and a synthetic validation fixture. Not an implemented generation platform.</w:t>
      </w:r>
    </w:p>
    <w:p>
      <w:pPr>
        <w:pStyle w:val="Heading1"/>
        <w:pageBreakBefore/>
      </w:pPr>
      <w:r>
        <w:t>How to use this specification</w:t>
      </w:r>
    </w:p>
    <w:p>
      <w:r>
        <w:t>Start with the architecture and native model. Use the ingestion and runtime chapters to define the implementation boundaries. The delivery plan orders the work by risk, not by agent persona.</w:t>
      </w:r>
    </w:p>
    <w:p>
      <w:pPr>
        <w:spacing w:before="160" w:after="40"/>
      </w:pPr>
      <w:r>
        <w:rPr>
          <w:b/>
          <w:color w:val="147D83"/>
        </w:rPr>
        <w:t xml:space="preserve">01  </w:t>
      </w:r>
      <w:r>
        <w:rPr>
          <w:b/>
        </w:rPr>
        <w:t>Product and architecture</w:t>
      </w:r>
    </w:p>
    <w:p>
      <w:pPr>
        <w:pStyle w:val="SmallNote"/>
      </w:pPr>
      <w:r>
        <w:t>Product invariants, module boundaries, ownership and lifecycle.</w:t>
      </w:r>
    </w:p>
    <w:p>
      <w:pPr>
        <w:spacing w:before="160" w:after="40"/>
      </w:pPr>
      <w:r>
        <w:rPr>
          <w:b/>
          <w:color w:val="147D83"/>
        </w:rPr>
        <w:t xml:space="preserve">02  </w:t>
      </w:r>
      <w:r>
        <w:rPr>
          <w:b/>
        </w:rPr>
        <w:t>The native report model</w:t>
      </w:r>
    </w:p>
    <w:p>
      <w:pPr>
        <w:pStyle w:val="SmallNote"/>
      </w:pPr>
      <w:r>
        <w:t>Shared semantic content, facts and three presentation families.</w:t>
      </w:r>
    </w:p>
    <w:p>
      <w:pPr>
        <w:spacing w:before="160" w:after="40"/>
      </w:pPr>
      <w:r>
        <w:rPr>
          <w:b/>
          <w:color w:val="147D83"/>
        </w:rPr>
        <w:t xml:space="preserve">03  </w:t>
      </w:r>
      <w:r>
        <w:rPr>
          <w:b/>
        </w:rPr>
        <w:t>Ingestion and learning</w:t>
      </w:r>
    </w:p>
    <w:p>
      <w:pPr>
        <w:pStyle w:val="SmallNote"/>
      </w:pPr>
      <w:r>
        <w:t>Mixed sources, template recovery, reconstruction and generalization.</w:t>
      </w:r>
    </w:p>
    <w:p>
      <w:pPr>
        <w:spacing w:before="160" w:after="40"/>
      </w:pPr>
      <w:r>
        <w:rPr>
          <w:b/>
          <w:color w:val="147D83"/>
        </w:rPr>
        <w:t xml:space="preserve">04  </w:t>
      </w:r>
      <w:r>
        <w:rPr>
          <w:b/>
        </w:rPr>
        <w:t>Production execution and export</w:t>
      </w:r>
    </w:p>
    <w:p>
      <w:pPr>
        <w:pStyle w:val="SmallNote"/>
      </w:pPr>
      <w:r>
        <w:t>Composition, native Office behavior, layout and fidelity.</w:t>
      </w:r>
    </w:p>
    <w:p>
      <w:pPr>
        <w:spacing w:before="160" w:after="40"/>
      </w:pPr>
      <w:r>
        <w:rPr>
          <w:b/>
          <w:color w:val="147D83"/>
        </w:rPr>
        <w:t xml:space="preserve">05  </w:t>
      </w:r>
      <w:r>
        <w:rPr>
          <w:b/>
        </w:rPr>
        <w:t>Engineering, validation and delivery</w:t>
      </w:r>
    </w:p>
    <w:p>
      <w:pPr>
        <w:pStyle w:val="SmallNote"/>
      </w:pPr>
      <w:r>
        <w:t>Tests, security, persistence, APIs and implementation milestones.</w:t>
      </w:r>
    </w:p>
    <w:p>
      <w:pPr>
        <w:spacing w:before="160" w:after="40"/>
      </w:pPr>
      <w:r>
        <w:rPr>
          <w:b/>
          <w:color w:val="147D83"/>
        </w:rPr>
        <w:t xml:space="preserve">06  </w:t>
      </w:r>
      <w:r>
        <w:rPr>
          <w:b/>
        </w:rPr>
        <w:t>Worked example and contract fixture</w:t>
      </w:r>
    </w:p>
    <w:p>
      <w:pPr>
        <w:pStyle w:val="SmallNote"/>
      </w:pPr>
      <w:r>
        <w:t>Concrete data, a native snapshot and the executable checks.</w:t>
      </w:r>
    </w:p>
    <w:p>
      <w:pPr>
        <w:spacing w:before="160" w:after="40"/>
      </w:pPr>
      <w:r>
        <w:rPr>
          <w:b/>
          <w:color w:val="147D83"/>
        </w:rPr>
        <w:t xml:space="preserve">07  </w:t>
      </w:r>
      <w:r>
        <w:rPr>
          <w:b/>
        </w:rPr>
        <w:t>Research notes and source register</w:t>
      </w:r>
    </w:p>
    <w:p>
      <w:pPr>
        <w:pStyle w:val="SmallNote"/>
      </w:pPr>
      <w:r>
        <w:t>Primary documentation, limitations and unmeasured assumptions.</w:t>
      </w:r>
    </w:p>
    <w:p>
      <w:pPr>
        <w:pStyle w:val="Heading2"/>
      </w:pPr>
      <w:r>
        <w:t>Companion implementation pack</w:t>
      </w:r>
    </w:p>
    <w:p>
      <w:pPr>
        <w:pStyle w:val="SmallNote"/>
      </w:pPr>
      <w:r>
        <w:t>The accompanying archive contains these chapters as Markdown, two reference JSON Schemas, synthetic data and report examples, and a validation harness. The schemas deliberately cover a small core; the written design defines the broader intended system.</w:t>
      </w:r>
    </w:p>
    <w:p>
      <w:pPr>
        <w:spacing w:before="240"/>
      </w:pPr>
      <w:r>
        <w:rPr>
          <w:b/>
        </w:rPr>
        <w:t>Start with a hand-authored mixed-content snapshot and four tested exports. Add learning only after the representation and execution path are measurable.</w:t>
      </w:r>
    </w:p>
    <w:p>
      <w:pPr>
        <w:pStyle w:val="Heading1"/>
        <w:pageBreakBefore/>
      </w:pPr>
      <w:r>
        <w:rPr>
          <w:b w:val="0"/>
          <w:i w:val="0"/>
        </w:rPr>
        <w:t>01 · Product and architecture</w:t>
      </w:r>
    </w:p>
    <w:p>
      <w:pPr>
        <w:pStyle w:val="Heading2"/>
      </w:pPr>
      <w:r>
        <w:rPr>
          <w:b w:val="0"/>
          <w:i w:val="0"/>
        </w:rPr>
        <w:t>1. The product contract</w:t>
      </w:r>
    </w:p>
    <w:p>
      <w:r>
        <w:rPr>
          <w:b w:val="0"/>
          <w:i w:val="0"/>
        </w:rPr>
        <w:t>The application learns a recurring report type from any number of historical report/source pairs and explicit user instructions. It produces a reusable, inspectable reporting program. Given the required inputs for a new period, that program produces an application-native report that can be reviewed, revised and exported on demand.</w:t>
      </w:r>
    </w:p>
    <w:p>
      <w:r>
        <w:rPr>
          <w:b w:val="0"/>
          <w:i w:val="0"/>
        </w:rPr>
        <w:t>Inputs may be analytical datasets, complicated spreadsheet workbooks, PDFs, word-processing documents, images and mixed collections. Historical outputs may themselves be spreadsheets with prose, formulas, pivots, charts and images, or precisely formatted documents. A file can have more than one declared role, but source evidence and historical target observations remain distinct.</w:t>
      </w:r>
    </w:p>
    <w:p>
      <w:r>
        <w:rPr>
          <w:b w:val="0"/>
          <w:i w:val="0"/>
        </w:rPr>
        <w:t>The product must distinguish five notions of success: factual correctness; coverage of required content; appropriate editorial choices; presentation fidelity; and native functionality/editability. A beautiful report with an incorrect denominator fails. So does a workbook advertised as having an interactive pivot when it contains only an aggregate table.</w:t>
      </w:r>
    </w:p>
    <w:p>
      <w:r>
        <w:rPr>
          <w:b w:val="0"/>
          <w:i w:val="0"/>
        </w:rPr>
      </w:r>
      <w:r>
        <w:rPr>
          <w:b/>
          <w:i w:val="0"/>
        </w:rPr>
        <w:t>Universal means a native semantic report with extensible output adapters. It does not mean lossless interchange between every possible feature of every file format.</w:t>
      </w:r>
      <w:r>
        <w:rPr>
          <w:b w:val="0"/>
          <w:i w:val="0"/>
        </w:rPr>
        <w:t xml:space="preserve"> Pandoc's own documentation explicitly identifies the limits of conversion through an intermediate model less expressive than its source formats. That is a reason to design a richer, capability-aware model here, not to use Markdown as the entire product substrate. [S01]</w:t>
      </w:r>
    </w:p>
    <w:p>
      <w:pPr>
        <w:pStyle w:val="Heading2"/>
      </w:pPr>
      <w:r>
        <w:rPr>
          <w:b w:val="0"/>
          <w:i w:val="0"/>
        </w:rPr>
        <w:t>2. Non-negotiable invariants</w:t>
      </w:r>
    </w:p>
    <w:p>
      <w:r>
        <w:rPr>
          <w:b w:val="0"/>
          <w:i w:val="0"/>
        </w:rPr>
        <w:t>A reported fact has a typed value, defined meaning, period scope and traceable origin. A materialized report revision identifies its source snapshot and reporting-program version. Computed quantities are not silently replaced by generated text. Exporting an existing revision does not invoke business-data discovery or change its factual content. Required unsupported features are surfaced before delivery. Published program versions and accepted report revisions are immutable.</w:t>
      </w:r>
    </w:p>
    <w:p>
      <w:r>
        <w:rPr>
          <w:b w:val="0"/>
          <w:i w:val="0"/>
        </w:rPr>
        <w:t>These are product invariants, not claims that every narrative assertion can be mechanically proven. Qualitative interpretation may remain uncertain and require review; the application must record that boundary.</w:t>
      </w:r>
    </w:p>
    <w:p>
      <w:pPr>
        <w:pStyle w:val="Heading2"/>
      </w:pPr>
      <w:r>
        <w:rPr>
          <w:b w:val="0"/>
          <w:i w:val="0"/>
        </w:rPr>
        <w:t>3. The architecture</w:t>
      </w:r>
    </w:p>
    <w:p>
      <w:pPr>
        <w:pStyle w:val="CodeBlock"/>
      </w:pPr>
      <w:r>
        <w:t xml:space="preserve">                     HISTORICAL LEARNING</w:t>
        <w:br/>
        <w:t>Immutable examples -&gt; source/evidence catalog -&gt; learning workbench</w:t>
        <w:br/>
        <w:t xml:space="preserve">                                                   |</w:t>
        <w:br/>
        <w:t xml:space="preserve">                                      candidate reporting program</w:t>
        <w:br/>
        <w:t xml:space="preserve">                                                   |</w:t>
        <w:br/>
        <w:t xml:space="preserve">                                 reconstruction + evaluation + review</w:t>
        <w:br/>
        <w:t xml:space="preserve">                                                   |</w:t>
        <w:br/>
        <w:t xml:space="preserve">                                         published program version</w:t>
        <w:br/>
        <w:t xml:space="preserve">                                                   |</w:t>
        <w:br/>
        <w:t xml:space="preserve">                     PERIODIC PRODUCTION           v</w:t>
        <w:br/>
        <w:t>New-period sources -&gt; bind / extract / compute -&gt; compose / validate</w:t>
        <w:br/>
        <w:t xml:space="preserve">                                                   |</w:t>
        <w:br/>
        <w:t xml:space="preserve">                                      native report snapshot</w:t>
        <w:br/>
        <w:t xml:space="preserve">                                                   |</w:t>
        <w:br/>
        <w:t xml:space="preserve">                                   app review / explicit revisions</w:t>
        <w:br/>
        <w:t xml:space="preserve">                                                   |</w:t>
        <w:br/>
        <w:t xml:space="preserve">                                 flow / grid / canvas compilation</w:t>
        <w:br/>
        <w:t xml:space="preserve">                                                   |</w:t>
        <w:br/>
        <w:t xml:space="preserve">                                   DOCX / XLSX / PDF / PPTX adapters</w:t>
        <w:br/>
        <w:t xml:space="preserve">                                                   |</w:t>
        <w:br/>
        <w:t xml:space="preserve">                                  verified exports + fidelity manifest</w:t>
      </w:r>
    </w:p>
    <w:p>
      <w:r>
        <w:rPr>
          <w:b w:val="0"/>
          <w:i w:val="0"/>
        </w:rPr>
        <w:t>This is one application with modules and workers, not a prescription for eleven microservices. Start with a Python API/worker codebase, a PostgreSQL metadata database and an object store. Execute untrusted parsing and generated code in separate sandboxes. A TypeScript/React application presents source evidence, a block-based report editor and export previews. Store large analytical data outside the transactional database, using columnar artifacts queried by DuckDB.</w:t>
      </w:r>
    </w:p>
    <w:p>
      <w:r>
        <w:rPr>
          <w:b w:val="0"/>
          <w:i w:val="0"/>
        </w:rPr>
        <w:t>Keep the job engine small initially: persisted job states, leases, heartbeats, idempotency keys and dependency-aware checkpoints. Do not let an LLM implement retries, authorize access or decide whether a package is published. Workflow state is application logic.</w:t>
      </w:r>
    </w:p>
    <w:p>
      <w:pPr>
        <w:pStyle w:val="Heading2"/>
      </w:pPr>
      <w:r>
        <w:rPr>
          <w:b w:val="0"/>
          <w:i w:val="0"/>
        </w:rPr>
        <w:t>4. Domain objects and ownership</w:t>
      </w:r>
    </w:p>
    <w:tbl>
      <w:tblPr>
        <w:tblW w:type="auto" w:w="0"/>
        <w:jc w:val="center"/>
        <w:tblLayout w:type="fixed"/>
        <w:tblLook w:firstColumn="1" w:firstRow="1" w:lastColumn="0" w:lastRow="0" w:noHBand="0" w:noVBand="1" w:val="04A0"/>
      </w:tblPr>
      <w:tblGrid>
        <w:gridCol w:w="1958"/>
        <w:gridCol w:w="3802"/>
        <w:gridCol w:w="3787"/>
      </w:tblGrid>
      <w:tr>
        <w:trPr>
          <w:cantSplit/>
          <w:tblHeader/>
        </w:trPr>
        <w:tc>
          <w:tcPr>
            <w:tcW w:type="dxa" w:w="1958"/>
            <w:vAlign w:val="top"/>
            <w:shd w:fill="173042"/>
            <w:tcMar>
              <w:top w:w="85" w:type="dxa"/>
              <w:left w:w="85" w:type="dxa"/>
              <w:bottom w:w="85" w:type="dxa"/>
              <w:right w:w="85" w:type="dxa"/>
            </w:tcMar>
          </w:tcPr>
          <w:p>
            <w:pPr>
              <w:pStyle w:val="TableHeader"/>
            </w:pPr>
            <w:r>
              <w:rPr>
                <w:b/>
                <w:i w:val="0"/>
                <w:color w:val="FFFFFF"/>
              </w:rPr>
              <w:t>Object</w:t>
            </w:r>
          </w:p>
        </w:tc>
        <w:tc>
          <w:tcPr>
            <w:tcW w:type="dxa" w:w="3802"/>
            <w:vAlign w:val="top"/>
            <w:shd w:fill="173042"/>
            <w:tcMar>
              <w:top w:w="85" w:type="dxa"/>
              <w:left w:w="85" w:type="dxa"/>
              <w:bottom w:w="85" w:type="dxa"/>
              <w:right w:w="85" w:type="dxa"/>
            </w:tcMar>
          </w:tcPr>
          <w:p>
            <w:pPr>
              <w:pStyle w:val="TableHeader"/>
            </w:pPr>
            <w:r>
              <w:rPr>
                <w:b/>
                <w:i w:val="0"/>
                <w:color w:val="FFFFFF"/>
              </w:rPr>
              <w:t>Meaning</w:t>
            </w:r>
          </w:p>
        </w:tc>
        <w:tc>
          <w:tcPr>
            <w:tcW w:type="dxa" w:w="3787"/>
            <w:vAlign w:val="top"/>
            <w:shd w:fill="173042"/>
            <w:tcMar>
              <w:top w:w="85" w:type="dxa"/>
              <w:left w:w="85" w:type="dxa"/>
              <w:bottom w:w="85" w:type="dxa"/>
              <w:right w:w="85" w:type="dxa"/>
            </w:tcMar>
          </w:tcPr>
          <w:p>
            <w:pPr>
              <w:pStyle w:val="TableHeader"/>
            </w:pPr>
            <w:r>
              <w:rPr>
                <w:b/>
                <w:i w:val="0"/>
                <w:color w:val="FFFFFF"/>
              </w:rPr>
              <w:t>Who may change it?</w:t>
            </w:r>
          </w:p>
        </w:tc>
      </w:tr>
      <w:tr>
        <w:trPr>
          <w:cantSplit/>
        </w:trPr>
        <w:tc>
          <w:tcPr>
            <w:tcW w:type="dxa" w:w="1958"/>
            <w:vAlign w:val="top"/>
            <w:shd w:fill="F0F5F7"/>
            <w:tcMar>
              <w:top w:w="85" w:type="dxa"/>
              <w:left w:w="85" w:type="dxa"/>
              <w:bottom w:w="85" w:type="dxa"/>
              <w:right w:w="85" w:type="dxa"/>
            </w:tcMar>
          </w:tcPr>
          <w:p>
            <w:pPr>
              <w:pStyle w:val="TableText"/>
            </w:pPr>
            <w:r>
              <w:rPr>
                <w:b w:val="0"/>
                <w:i w:val="0"/>
              </w:rPr>
              <w:t>Source asset</w:t>
            </w:r>
          </w:p>
        </w:tc>
        <w:tc>
          <w:tcPr>
            <w:tcW w:type="dxa" w:w="3802"/>
            <w:vAlign w:val="top"/>
            <w:shd w:fill="F0F5F7"/>
            <w:tcMar>
              <w:top w:w="85" w:type="dxa"/>
              <w:left w:w="85" w:type="dxa"/>
              <w:bottom w:w="85" w:type="dxa"/>
              <w:right w:w="85" w:type="dxa"/>
            </w:tcMar>
          </w:tcPr>
          <w:p>
            <w:pPr>
              <w:pStyle w:val="TableText"/>
            </w:pPr>
            <w:r>
              <w:rPr>
                <w:b w:val="0"/>
                <w:i w:val="0"/>
              </w:rPr>
              <w:t>Original uploaded bytes plus identity, hash and access policy.</w:t>
            </w:r>
          </w:p>
        </w:tc>
        <w:tc>
          <w:tcPr>
            <w:tcW w:type="dxa" w:w="3787"/>
            <w:vAlign w:val="top"/>
            <w:shd w:fill="F0F5F7"/>
            <w:tcMar>
              <w:top w:w="85" w:type="dxa"/>
              <w:left w:w="85" w:type="dxa"/>
              <w:bottom w:w="85" w:type="dxa"/>
              <w:right w:w="85" w:type="dxa"/>
            </w:tcMar>
          </w:tcPr>
          <w:p>
            <w:pPr>
              <w:pStyle w:val="TableText"/>
            </w:pPr>
            <w:r>
              <w:rPr>
                <w:b w:val="0"/>
                <w:i w:val="0"/>
              </w:rPr>
              <w:t>Nobody in place; replacement creates a new asset.</w:t>
            </w:r>
          </w:p>
        </w:tc>
      </w:tr>
      <w:tr>
        <w:trPr>
          <w:cantSplit/>
        </w:trPr>
        <w:tc>
          <w:tcPr>
            <w:tcW w:type="dxa" w:w="1958"/>
            <w:vAlign w:val="top"/>
            <w:shd w:fill="FFFFFF"/>
            <w:tcMar>
              <w:top w:w="85" w:type="dxa"/>
              <w:left w:w="85" w:type="dxa"/>
              <w:bottom w:w="85" w:type="dxa"/>
              <w:right w:w="85" w:type="dxa"/>
            </w:tcMar>
          </w:tcPr>
          <w:p>
            <w:pPr>
              <w:pStyle w:val="TableText"/>
            </w:pPr>
            <w:r>
              <w:rPr>
                <w:b w:val="0"/>
                <w:i w:val="0"/>
              </w:rPr>
              <w:t>Example case</w:t>
            </w:r>
          </w:p>
        </w:tc>
        <w:tc>
          <w:tcPr>
            <w:tcW w:type="dxa" w:w="3802"/>
            <w:vAlign w:val="top"/>
            <w:shd w:fill="FFFFFF"/>
            <w:tcMar>
              <w:top w:w="85" w:type="dxa"/>
              <w:left w:w="85" w:type="dxa"/>
              <w:bottom w:w="85" w:type="dxa"/>
              <w:right w:w="85" w:type="dxa"/>
            </w:tcMar>
          </w:tcPr>
          <w:p>
            <w:pPr>
              <w:pStyle w:val="TableText"/>
            </w:pPr>
            <w:r>
              <w:rPr>
                <w:b w:val="0"/>
                <w:i w:val="0"/>
              </w:rPr>
              <w:t>Historical period, report targets, raw-source bindings and declared caveats.</w:t>
            </w:r>
          </w:p>
        </w:tc>
        <w:tc>
          <w:tcPr>
            <w:tcW w:type="dxa" w:w="3787"/>
            <w:vAlign w:val="top"/>
            <w:shd w:fill="FFFFFF"/>
            <w:tcMar>
              <w:top w:w="85" w:type="dxa"/>
              <w:left w:w="85" w:type="dxa"/>
              <w:bottom w:w="85" w:type="dxa"/>
              <w:right w:w="85" w:type="dxa"/>
            </w:tcMar>
          </w:tcPr>
          <w:p>
            <w:pPr>
              <w:pStyle w:val="TableText"/>
            </w:pPr>
            <w:r>
              <w:rPr>
                <w:b w:val="0"/>
                <w:i w:val="0"/>
              </w:rPr>
              <w:t>User/application through a versioned revision.</w:t>
            </w:r>
          </w:p>
        </w:tc>
      </w:tr>
      <w:tr>
        <w:trPr>
          <w:cantSplit/>
        </w:trPr>
        <w:tc>
          <w:tcPr>
            <w:tcW w:type="dxa" w:w="1958"/>
            <w:vAlign w:val="top"/>
            <w:shd w:fill="F0F5F7"/>
            <w:tcMar>
              <w:top w:w="85" w:type="dxa"/>
              <w:left w:w="85" w:type="dxa"/>
              <w:bottom w:w="85" w:type="dxa"/>
              <w:right w:w="85" w:type="dxa"/>
            </w:tcMar>
          </w:tcPr>
          <w:p>
            <w:pPr>
              <w:pStyle w:val="TableText"/>
            </w:pPr>
            <w:r>
              <w:rPr>
                <w:b w:val="0"/>
                <w:i w:val="0"/>
              </w:rPr>
              <w:t>Evidence item</w:t>
            </w:r>
          </w:p>
        </w:tc>
        <w:tc>
          <w:tcPr>
            <w:tcW w:type="dxa" w:w="3802"/>
            <w:vAlign w:val="top"/>
            <w:shd w:fill="F0F5F7"/>
            <w:tcMar>
              <w:top w:w="85" w:type="dxa"/>
              <w:left w:w="85" w:type="dxa"/>
              <w:bottom w:w="85" w:type="dxa"/>
              <w:right w:w="85" w:type="dxa"/>
            </w:tcMar>
          </w:tcPr>
          <w:p>
            <w:pPr>
              <w:pStyle w:val="TableText"/>
            </w:pPr>
            <w:r>
              <w:rPr>
                <w:b w:val="0"/>
                <w:i w:val="0"/>
              </w:rPr>
              <w:t>A located observation or reconstruction, with extraction quality and references.</w:t>
            </w:r>
          </w:p>
        </w:tc>
        <w:tc>
          <w:tcPr>
            <w:tcW w:type="dxa" w:w="3787"/>
            <w:vAlign w:val="top"/>
            <w:shd w:fill="F0F5F7"/>
            <w:tcMar>
              <w:top w:w="85" w:type="dxa"/>
              <w:left w:w="85" w:type="dxa"/>
              <w:bottom w:w="85" w:type="dxa"/>
              <w:right w:w="85" w:type="dxa"/>
            </w:tcMar>
          </w:tcPr>
          <w:p>
            <w:pPr>
              <w:pStyle w:val="TableText"/>
            </w:pPr>
            <w:r>
              <w:rPr>
                <w:b w:val="0"/>
                <w:i w:val="0"/>
              </w:rPr>
              <w:t>Learning jobs append; prior evidence remains identifiable.</w:t>
            </w:r>
          </w:p>
        </w:tc>
      </w:tr>
      <w:tr>
        <w:trPr>
          <w:cantSplit/>
        </w:trPr>
        <w:tc>
          <w:tcPr>
            <w:tcW w:type="dxa" w:w="1958"/>
            <w:vAlign w:val="top"/>
            <w:shd w:fill="FFFFFF"/>
            <w:tcMar>
              <w:top w:w="85" w:type="dxa"/>
              <w:left w:w="85" w:type="dxa"/>
              <w:bottom w:w="85" w:type="dxa"/>
              <w:right w:w="85" w:type="dxa"/>
            </w:tcMar>
          </w:tcPr>
          <w:p>
            <w:pPr>
              <w:pStyle w:val="TableText"/>
            </w:pPr>
            <w:r>
              <w:rPr>
                <w:b w:val="0"/>
                <w:i w:val="0"/>
              </w:rPr>
              <w:t>Reporting program</w:t>
            </w:r>
          </w:p>
        </w:tc>
        <w:tc>
          <w:tcPr>
            <w:tcW w:type="dxa" w:w="3802"/>
            <w:vAlign w:val="top"/>
            <w:shd w:fill="FFFFFF"/>
            <w:tcMar>
              <w:top w:w="85" w:type="dxa"/>
              <w:left w:w="85" w:type="dxa"/>
              <w:bottom w:w="85" w:type="dxa"/>
              <w:right w:w="85" w:type="dxa"/>
            </w:tcMar>
          </w:tcPr>
          <w:p>
            <w:pPr>
              <w:pStyle w:val="TableText"/>
            </w:pPr>
            <w:r>
              <w:rPr>
                <w:b w:val="0"/>
                <w:i w:val="0"/>
              </w:rPr>
              <w:t>Input contract, computation code, narrative rules, view recipes and tests.</w:t>
            </w:r>
          </w:p>
        </w:tc>
        <w:tc>
          <w:tcPr>
            <w:tcW w:type="dxa" w:w="3787"/>
            <w:vAlign w:val="top"/>
            <w:shd w:fill="FFFFFF"/>
            <w:tcMar>
              <w:top w:w="85" w:type="dxa"/>
              <w:left w:w="85" w:type="dxa"/>
              <w:bottom w:w="85" w:type="dxa"/>
              <w:right w:w="85" w:type="dxa"/>
            </w:tcMar>
          </w:tcPr>
          <w:p>
            <w:pPr>
              <w:pStyle w:val="TableText"/>
            </w:pPr>
            <w:r>
              <w:rPr>
                <w:b w:val="0"/>
                <w:i w:val="0"/>
              </w:rPr>
              <w:t>Learning controller in a candidate branch; publisher releases a version.</w:t>
            </w:r>
          </w:p>
        </w:tc>
      </w:tr>
      <w:tr>
        <w:trPr>
          <w:cantSplit/>
        </w:trPr>
        <w:tc>
          <w:tcPr>
            <w:tcW w:type="dxa" w:w="1958"/>
            <w:vAlign w:val="top"/>
            <w:shd w:fill="F0F5F7"/>
            <w:tcMar>
              <w:top w:w="85" w:type="dxa"/>
              <w:left w:w="85" w:type="dxa"/>
              <w:bottom w:w="85" w:type="dxa"/>
              <w:right w:w="85" w:type="dxa"/>
            </w:tcMar>
          </w:tcPr>
          <w:p>
            <w:pPr>
              <w:pStyle w:val="TableText"/>
            </w:pPr>
            <w:r>
              <w:rPr>
                <w:b w:val="0"/>
                <w:i w:val="0"/>
              </w:rPr>
              <w:t>Report snapshot</w:t>
            </w:r>
          </w:p>
        </w:tc>
        <w:tc>
          <w:tcPr>
            <w:tcW w:type="dxa" w:w="3802"/>
            <w:vAlign w:val="top"/>
            <w:shd w:fill="F0F5F7"/>
            <w:tcMar>
              <w:top w:w="85" w:type="dxa"/>
              <w:left w:w="85" w:type="dxa"/>
              <w:bottom w:w="85" w:type="dxa"/>
              <w:right w:w="85" w:type="dxa"/>
            </w:tcMar>
          </w:tcPr>
          <w:p>
            <w:pPr>
              <w:pStyle w:val="TableText"/>
            </w:pPr>
            <w:r>
              <w:rPr>
                <w:b w:val="0"/>
                <w:i w:val="0"/>
              </w:rPr>
              <w:t>Materialized semantic content for one period and one source snapshot.</w:t>
            </w:r>
          </w:p>
        </w:tc>
        <w:tc>
          <w:tcPr>
            <w:tcW w:type="dxa" w:w="3787"/>
            <w:vAlign w:val="top"/>
            <w:shd w:fill="F0F5F7"/>
            <w:tcMar>
              <w:top w:w="85" w:type="dxa"/>
              <w:left w:w="85" w:type="dxa"/>
              <w:bottom w:w="85" w:type="dxa"/>
              <w:right w:w="85" w:type="dxa"/>
            </w:tcMar>
          </w:tcPr>
          <w:p>
            <w:pPr>
              <w:pStyle w:val="TableText"/>
            </w:pPr>
            <w:r>
              <w:rPr>
                <w:b w:val="0"/>
                <w:i w:val="0"/>
              </w:rPr>
              <w:t>Immutable; edits create another revision.</w:t>
            </w:r>
          </w:p>
        </w:tc>
      </w:tr>
      <w:tr>
        <w:trPr>
          <w:cantSplit/>
        </w:trPr>
        <w:tc>
          <w:tcPr>
            <w:tcW w:type="dxa" w:w="1958"/>
            <w:vAlign w:val="top"/>
            <w:shd w:fill="FFFFFF"/>
            <w:tcMar>
              <w:top w:w="85" w:type="dxa"/>
              <w:left w:w="85" w:type="dxa"/>
              <w:bottom w:w="85" w:type="dxa"/>
              <w:right w:w="85" w:type="dxa"/>
            </w:tcMar>
          </w:tcPr>
          <w:p>
            <w:pPr>
              <w:pStyle w:val="TableText"/>
            </w:pPr>
            <w:r>
              <w:rPr>
                <w:b w:val="0"/>
                <w:i w:val="0"/>
              </w:rPr>
              <w:t>Presentation view</w:t>
            </w:r>
          </w:p>
        </w:tc>
        <w:tc>
          <w:tcPr>
            <w:tcW w:type="dxa" w:w="3802"/>
            <w:vAlign w:val="top"/>
            <w:shd w:fill="FFFFFF"/>
            <w:tcMar>
              <w:top w:w="85" w:type="dxa"/>
              <w:left w:w="85" w:type="dxa"/>
              <w:bottom w:w="85" w:type="dxa"/>
              <w:right w:w="85" w:type="dxa"/>
            </w:tcMar>
          </w:tcPr>
          <w:p>
            <w:pPr>
              <w:pStyle w:val="TableText"/>
            </w:pPr>
            <w:r>
              <w:rPr>
                <w:b w:val="0"/>
                <w:i w:val="0"/>
              </w:rPr>
              <w:t>Flow, grid or canvas recipe associated with a program or report revision.</w:t>
            </w:r>
          </w:p>
        </w:tc>
        <w:tc>
          <w:tcPr>
            <w:tcW w:type="dxa" w:w="3787"/>
            <w:vAlign w:val="top"/>
            <w:shd w:fill="FFFFFF"/>
            <w:tcMar>
              <w:top w:w="85" w:type="dxa"/>
              <w:left w:w="85" w:type="dxa"/>
              <w:bottom w:w="85" w:type="dxa"/>
              <w:right w:w="85" w:type="dxa"/>
            </w:tcMar>
          </w:tcPr>
          <w:p>
            <w:pPr>
              <w:pStyle w:val="TableText"/>
            </w:pPr>
            <w:r>
              <w:rPr>
                <w:b w:val="0"/>
                <w:i w:val="0"/>
              </w:rPr>
              <w:t>Authorized edits with explicit scope.</w:t>
            </w:r>
          </w:p>
        </w:tc>
      </w:tr>
      <w:tr>
        <w:trPr>
          <w:cantSplit/>
        </w:trPr>
        <w:tc>
          <w:tcPr>
            <w:tcW w:type="dxa" w:w="1958"/>
            <w:vAlign w:val="top"/>
            <w:shd w:fill="F0F5F7"/>
            <w:tcMar>
              <w:top w:w="85" w:type="dxa"/>
              <w:left w:w="85" w:type="dxa"/>
              <w:bottom w:w="85" w:type="dxa"/>
              <w:right w:w="85" w:type="dxa"/>
            </w:tcMar>
          </w:tcPr>
          <w:p>
            <w:pPr>
              <w:pStyle w:val="TableText"/>
            </w:pPr>
            <w:r>
              <w:rPr>
                <w:b w:val="0"/>
                <w:i w:val="0"/>
              </w:rPr>
              <w:t>Export artifact</w:t>
            </w:r>
          </w:p>
        </w:tc>
        <w:tc>
          <w:tcPr>
            <w:tcW w:type="dxa" w:w="3802"/>
            <w:vAlign w:val="top"/>
            <w:shd w:fill="F0F5F7"/>
            <w:tcMar>
              <w:top w:w="85" w:type="dxa"/>
              <w:left w:w="85" w:type="dxa"/>
              <w:bottom w:w="85" w:type="dxa"/>
              <w:right w:w="85" w:type="dxa"/>
            </w:tcMar>
          </w:tcPr>
          <w:p>
            <w:pPr>
              <w:pStyle w:val="TableText"/>
            </w:pPr>
            <w:r>
              <w:rPr>
                <w:b w:val="0"/>
                <w:i w:val="0"/>
              </w:rPr>
              <w:t>Rendered bytes, renderer version, coverage map and fidelity results.</w:t>
            </w:r>
          </w:p>
        </w:tc>
        <w:tc>
          <w:tcPr>
            <w:tcW w:type="dxa" w:w="3787"/>
            <w:vAlign w:val="top"/>
            <w:shd w:fill="F0F5F7"/>
            <w:tcMar>
              <w:top w:w="85" w:type="dxa"/>
              <w:left w:w="85" w:type="dxa"/>
              <w:bottom w:w="85" w:type="dxa"/>
              <w:right w:w="85" w:type="dxa"/>
            </w:tcMar>
          </w:tcPr>
          <w:p>
            <w:pPr>
              <w:pStyle w:val="TableText"/>
            </w:pPr>
            <w:r>
              <w:rPr>
                <w:b w:val="0"/>
                <w:i w:val="0"/>
              </w:rPr>
              <w:t>Append-only, reproducible from its inputs where supported.</w:t>
            </w:r>
          </w:p>
        </w:tc>
      </w:tr>
    </w:tbl>
    <w:p>
      <w:pPr>
        <w:spacing w:after="60" w:before="0" w:line="40" w:lineRule="exact"/>
      </w:pPr>
      <w:r>
        <w:rPr>
          <w:sz w:val="4"/>
        </w:rPr>
      </w:r>
    </w:p>
    <w:p>
      <w:r>
        <w:rPr>
          <w:b w:val="0"/>
          <w:i w:val="0"/>
        </w:rPr>
        <w:t>A content digest is an integrity mechanism, not an authorization mechanism. Tenant identity and access policy are checked independently. The application never treats knowledge of a digest or artifact ID as permission to read it.</w:t>
      </w:r>
    </w:p>
    <w:p>
      <w:pPr>
        <w:pStyle w:val="Heading2"/>
      </w:pPr>
      <w:r>
        <w:rPr>
          <w:b w:val="0"/>
          <w:i w:val="0"/>
        </w:rPr>
        <w:t>5. Separate learning from production</w:t>
      </w:r>
    </w:p>
    <w:p>
      <w:r>
        <w:rPr>
          <w:b w:val="0"/>
          <w:i w:val="0"/>
        </w:rPr>
        <w:t>The learning workbench is intentionally flexible. Its controller can inspect sources, query data, try hypotheses, write adapter/computation code and test candidates. It can delegate a bounded question when parallel work is genuinely independent. The controller integrates results into a single candidate; specialists do not concurrently rewrite shared production files.</w:t>
      </w:r>
    </w:p>
    <w:p>
      <w:r>
        <w:rPr>
          <w:b w:val="0"/>
          <w:i w:val="0"/>
        </w:rPr>
        <w:t>Production is a predetermined dependency graph with explicit language-model steps where extraction or composition requires them. This separation follows the useful distinction between predefined workflows and agent-directed exploration; it does not require a particular agent framework or provider. [S13]</w:t>
      </w:r>
    </w:p>
    <w:p>
      <w:r>
        <w:rPr>
          <w:b w:val="0"/>
          <w:i w:val="0"/>
        </w:rPr>
        <w:t>Use one sufficiently capable learning controller as the baseline. Introduce specialists for measurable reasons: PDF reconstruction, workbook formula analysis, independent visual assessment or a large isolated section. Do not create permanent agents merely because their names describe useful responsibilities.</w:t>
      </w:r>
    </w:p>
    <w:p>
      <w:pPr>
        <w:pStyle w:val="Heading2"/>
      </w:pPr>
      <w:r>
        <w:rPr>
          <w:b w:val="0"/>
          <w:i w:val="0"/>
        </w:rPr>
        <w:t>6. What a reporting program contains</w:t>
      </w:r>
    </w:p>
    <w:p>
      <w:r>
        <w:rPr>
          <w:b w:val="0"/>
          <w:i w:val="0"/>
        </w:rPr>
        <w:t>The program has six cohesive parts: source-role contracts; adapters and computations; reporting policies; content obligations; presentation recipes; and evaluation fixtures. They share stable IDs and ship as one version.</w:t>
      </w:r>
    </w:p>
    <w:p>
      <w:r>
        <w:rPr>
          <w:b w:val="0"/>
          <w:i w:val="0"/>
        </w:rPr>
        <w:t>Source contracts describe what an input means, not what someone happened to name it last March. Computation code returns typed facts and data views. Reporting policies define comparisons, selection thresholds, conditional sections, missing-data behavior and permitted narrative evidence. Content obligations describe exact wording, templated material and free composition. Presentation recipes specify per-medium organization and layout constraints. Tests establish known behavior and limitations.</w:t>
      </w:r>
    </w:p>
    <w:p>
      <w:r>
        <w:rPr>
          <w:b w:val="0"/>
          <w:i w:val="0"/>
        </w:rPr>
        <w:t>Business calculations have one authority: executable program code. A narrative instruction may explain a metric, but it does not contain an independently maintained formula. A spreadsheet formula is generated only for an explicitly supported portable expression, with equivalence tests against the authority; arbitrary Python is not assumed to compile into Excel.</w:t>
      </w:r>
    </w:p>
    <w:p>
      <w:pPr>
        <w:pStyle w:val="Heading2"/>
      </w:pPr>
      <w:r>
        <w:rPr>
          <w:b w:val="0"/>
          <w:i w:val="0"/>
        </w:rPr>
        <w:t>7. Lifecycle and publication</w:t>
      </w:r>
    </w:p>
    <w:p>
      <w:r>
        <w:rPr>
          <w:b w:val="0"/>
          <w:i w:val="0"/>
        </w:rPr>
        <w:t>Example ingestion moves through received, inspected, usable or blocked states. A reporting program moves through candidate, evaluating, ready-for-review, published and superseded states. A generation run moves through input-check, preparing, composing, validating, review-required or accepted, with separate blocked and failed states. Export jobs have their own states and never implicitly reopen semantic generation.</w:t>
      </w:r>
    </w:p>
    <w:p>
      <w:r>
        <w:rPr>
          <w:b w:val="0"/>
          <w:i w:val="0"/>
        </w:rPr>
        <w:t>A run can produce a usable draft without being accepted. A source ambiguity is a blocker when it affects required content; a cosmetic concern may instead create a warning. Every issue has a component ID, severity, evidence and a next action. Avoid the ambiguous status “done” for both a draft and a deliverable.</w:t>
      </w:r>
    </w:p>
    <w:p>
      <w:r>
        <w:rPr>
          <w:b w:val="0"/>
          <w:i w:val="0"/>
        </w:rPr>
        <w:t>Publication is compare-and-swap against the candidate revision under evaluation. A late code change invalidates the corresponding evaluation. Existing report snapshots keep their old package and source references when a newer program is published.</w:t>
      </w:r>
    </w:p>
    <w:p>
      <w:pPr>
        <w:pStyle w:val="Heading2"/>
      </w:pPr>
      <w:r>
        <w:rPr>
          <w:b w:val="0"/>
          <w:i w:val="0"/>
        </w:rPr>
        <w:t>8. The native application experience</w:t>
      </w:r>
    </w:p>
    <w:p>
      <w:r>
        <w:rPr>
          <w:b w:val="0"/>
          <w:i w:val="0"/>
        </w:rPr>
        <w:t>The report opens as a structured report, not a converted Office document. Users can navigate its sections, inspect facts and sources, edit permitted prose, view tables interactively and choose a document, workbook or deck presentation. A precision preview is the actual rendered target output, not a claim that browser layout perfectly predicts Microsoft Office pagination.</w:t>
      </w:r>
    </w:p>
    <w:p>
      <w:r>
        <w:rPr>
          <w:b w:val="0"/>
          <w:i w:val="0"/>
        </w:rPr>
        <w:t>Every edit has an explicit scope: this period's content, this view's layout, or future reports of this type. Editing a computed amount offers a source correction or an attributed override; it must not detach a displayed number silently from its calculation. Updating a shared fact invalidates affected prose, totals, charts and exports. Editing only a grid column width does not regenerate a narrative paragraph.</w:t>
      </w:r>
    </w:p>
    <w:p>
      <w:r>
        <w:rPr>
          <w:b w:val="0"/>
          <w:i w:val="0"/>
        </w:rPr>
        <w:t>Export options identify the target format, view, fidelity policy and revision. Generating a shorter deck is a content adaptation operation; downloading an already prepared deck is an export operation. Keep those actions visibly different.</w:t>
      </w:r>
    </w:p>
    <w:p>
      <w:pPr>
        <w:pStyle w:val="Heading2"/>
      </w:pPr>
      <w:r>
        <w:rPr>
          <w:b w:val="0"/>
          <w:i w:val="0"/>
        </w:rPr>
        <w:t>9. Deliberate exclusions at the beginning</w:t>
      </w:r>
    </w:p>
    <w:p>
      <w:r>
        <w:rPr>
          <w:b w:val="0"/>
          <w:i w:val="0"/>
        </w:rPr>
        <w:t>Do not initially implement arbitrary Office round-tripping, automatic macro execution, arbitrary Python-to-Excel translation, a complete spreadsheet engine in the browser, or unrestricted generation of new renderer code during report runs. Do not promise that a source-only raster chart yields exact recoverable numbers.</w:t>
      </w:r>
    </w:p>
    <w:p>
      <w:r>
        <w:rPr>
          <w:b w:val="0"/>
          <w:i w:val="0"/>
        </w:rPr>
        <w:t>The extension mechanism can represent unsupported native fragments with an accessible snapshot and fidelity warning. It cannot convert an unsupported feature into a supported one by renaming it “custom.” Required dynamic behavior still needs an implementation and tests.</w:t>
      </w:r>
    </w:p>
    <w:p>
      <w:pPr>
        <w:pStyle w:val="Heading1"/>
        <w:pageBreakBefore w:val="0"/>
        <w:spacing w:before="460"/>
      </w:pPr>
      <w:r>
        <w:rPr>
          <w:b w:val="0"/>
          <w:i w:val="0"/>
        </w:rPr>
        <w:t>02 · The native report model</w:t>
      </w:r>
    </w:p>
    <w:p>
      <w:pPr>
        <w:pStyle w:val="Heading2"/>
      </w:pPr>
      <w:r>
        <w:rPr>
          <w:b w:val="0"/>
          <w:i w:val="0"/>
        </w:rPr>
        <w:t>1. Use three representations, not one overloaded document tree</w:t>
      </w:r>
    </w:p>
    <w:p>
      <w:r>
        <w:rPr>
          <w:b w:val="0"/>
          <w:i w:val="0"/>
        </w:rPr>
        <w:t>The source representation preserves observations about uploaded files. The semantic representation captures what an accepted report says. Presentation representations explain how that content should appear in a particular medium. These representations reference one another but serve different purposes.</w:t>
      </w:r>
    </w:p>
    <w:p>
      <w:r>
        <w:rPr>
          <w:b w:val="0"/>
          <w:i w:val="0"/>
        </w:rPr>
        <w:t>A PDF bounding box is a source locator, not a good universal layout primitive. A worksheet cell address is a grid placement, not a metric's identity. A historical paragraph is evidence about a writing policy, not automatically the policy itself.</w:t>
      </w:r>
    </w:p>
    <w:p>
      <w:r>
        <w:rPr>
          <w:b w:val="0"/>
          <w:i w:val="0"/>
        </w:rPr>
        <w:t>I would implement the native format as a versioned JSON manifest referencing immutable data, assets and presentation recipes. The complete report package is the manifest plus those referenced objects. Large tables remain in Arrow/Parquet or other declared typed data artifacts; the JSON does not contain millions of rows. An exportable archive may bundle authorized dependencies, but raw source files are not included automatically.</w:t>
      </w:r>
    </w:p>
    <w:p>
      <w:pPr>
        <w:pStyle w:val="Heading2"/>
      </w:pPr>
      <w:r>
        <w:rPr>
          <w:b w:val="0"/>
          <w:i w:val="0"/>
        </w:rPr>
        <w:t>2. Reporting program versus report snapshot</w:t>
      </w:r>
    </w:p>
    <w:p>
      <w:r>
        <w:rPr>
          <w:b w:val="0"/>
          <w:i w:val="0"/>
        </w:rPr>
        <w:t xml:space="preserve">A </w:t>
      </w:r>
      <w:r>
        <w:rPr>
          <w:b/>
          <w:i w:val="0"/>
        </w:rPr>
        <w:t>reporting program</w:t>
      </w:r>
      <w:r>
        <w:rPr>
          <w:b w:val="0"/>
          <w:i w:val="0"/>
        </w:rPr>
        <w:t xml:space="preserve"> is reusable and period-agnostic. A </w:t>
      </w:r>
      <w:r>
        <w:rPr>
          <w:b/>
          <w:i w:val="0"/>
        </w:rPr>
        <w:t>report snapshot</w:t>
      </w:r>
      <w:r>
        <w:rPr>
          <w:b w:val="0"/>
          <w:i w:val="0"/>
        </w:rPr>
        <w:t xml:space="preserve"> is an execution result for one period. Do not serialize executable Python, speculative hypotheses and final user-facing prose into a single mutable object.</w:t>
      </w:r>
    </w:p>
    <w:p>
      <w:r>
        <w:rPr>
          <w:b w:val="0"/>
          <w:i w:val="0"/>
        </w:rPr>
        <w:t>The program identifies accepted source roles, transformations, output fact IDs, component rules and presentation recipes. The snapshot identifies the exact program version, period context, source snapshot, computed values, resolved content and view versions. A snapshot also records approved overrides, validation findings and reproducibility metadata.</w:t>
      </w:r>
    </w:p>
    <w:p>
      <w:r>
        <w:rPr>
          <w:b w:val="0"/>
          <w:i w:val="0"/>
        </w:rPr>
        <w:t xml:space="preserve">A third object, the </w:t>
      </w:r>
      <w:r>
        <w:rPr>
          <w:b/>
          <w:i w:val="0"/>
        </w:rPr>
        <w:t>render manifest</w:t>
      </w:r>
      <w:r>
        <w:rPr>
          <w:b w:val="0"/>
          <w:i w:val="0"/>
        </w:rPr>
        <w:t>, records how one exporter represented that snapshot. It includes mappings from semantic node IDs to locations such as worksheet ranges, document anchors or slide shapes, and records any capability downgrade.</w:t>
      </w:r>
    </w:p>
    <w:p>
      <w:pPr>
        <w:pStyle w:val="Heading2"/>
      </w:pPr>
      <w:r>
        <w:rPr>
          <w:b w:val="0"/>
          <w:i w:val="0"/>
        </w:rPr>
        <w:t>3. Facts and units</w:t>
      </w:r>
    </w:p>
    <w:p>
      <w:r>
        <w:rPr>
          <w:b w:val="0"/>
          <w:i w:val="0"/>
        </w:rPr>
        <w:t xml:space="preserve">A numerical fact is not just </w:t>
      </w:r>
      <w:r>
        <w:rPr>
          <w:rFonts w:ascii="DejaVu Sans Mono" w:hAnsi="DejaVu Sans Mono"/>
          <w:b w:val="0"/>
          <w:i w:val="0"/>
          <w:sz w:val="17"/>
        </w:rPr>
        <w:t>42.7</w:t>
      </w:r>
      <w:r>
        <w:rPr>
          <w:b w:val="0"/>
          <w:i w:val="0"/>
        </w:rPr>
        <w:t>. It has an ID, a typed value, unit, scale, period/comparison scope, display rule, computation reference and evidence lineage. Distinguish an amount in EUR from EUR thousands, a percentage ratio from percentage points, and a count from a decimal measurement.</w:t>
      </w:r>
    </w:p>
    <w:p>
      <w:r>
        <w:rPr>
          <w:b w:val="0"/>
          <w:i w:val="0"/>
        </w:rPr>
        <w:t>Use decimal strings or declared fixed-precision types when exact decimal arithmetic matters. A number's stored precision and displayed rounding are separate. Null, missing, not applicable, withheld and undefined are different states; never automatically coerce them to zero.</w:t>
      </w:r>
    </w:p>
    <w:p>
      <w:r>
        <w:rPr>
          <w:b w:val="0"/>
          <w:i w:val="0"/>
        </w:rPr>
        <w:t>A growth result should identify both compared quantities and the zero-denominator policy. A ratio uses its declared denominator scope. A report total does not silently sum rounded display cells unless that is the approved rule. Currency conversion requires an explicit rate source and applicable date.</w:t>
      </w:r>
    </w:p>
    <w:p>
      <w:r>
        <w:rPr>
          <w:b w:val="0"/>
          <w:i w:val="0"/>
        </w:rPr>
        <w:t>Facts can originate from computation, direct source observation or an attributed user override. An override records the original fact, reason, author and scope. Dependents are revalidated against the overridden revision; the original lineage remains inspectable.</w:t>
      </w:r>
    </w:p>
    <w:p>
      <w:pPr>
        <w:pStyle w:val="Heading2"/>
      </w:pPr>
      <w:r>
        <w:rPr>
          <w:b w:val="0"/>
          <w:i w:val="0"/>
        </w:rPr>
        <w:t>4. The content graph</w:t>
      </w:r>
    </w:p>
    <w:p>
      <w:r>
        <w:rPr>
          <w:b w:val="0"/>
          <w:i w:val="0"/>
        </w:rPr>
        <w:t>The core model is a hierarchical content graph with stable node IDs and references to a shared data/fact registry. Containers establish structure; references allow the same fact or data view to appear in several places without copying its meaning.</w:t>
      </w:r>
    </w:p>
    <w:p>
      <w:r>
        <w:rPr>
          <w:b w:val="0"/>
          <w:i w:val="0"/>
        </w:rPr>
        <w:t>The initial node vocabulary is intentionally small: section, rich text, table, pivot, chart and image. Add lists, captions, footnotes, equations and named reusable groups as supported extensions. References and relationships, rather than a proliferation of block types, should carry common behavior.</w:t>
      </w:r>
    </w:p>
    <w:p>
      <w:r>
        <w:rPr>
          <w:b w:val="0"/>
          <w:i w:val="0"/>
        </w:rPr>
      </w:r>
      <w:r>
        <w:rPr>
          <w:b/>
          <w:i w:val="0"/>
        </w:rPr>
        <w:t>Rich text</w:t>
      </w:r>
      <w:r>
        <w:rPr>
          <w:b w:val="0"/>
          <w:i w:val="0"/>
        </w:rPr>
        <w:t xml:space="preserve"> contains typed runs: literal text, fact references, cross-references and supported inline styling. Composed prose is stored after acceptance; exporting it does not call a language model. Important statements can carry claim records identifying their node/span and supporting evidence.</w:t>
      </w:r>
    </w:p>
    <w:p>
      <w:r>
        <w:rPr>
          <w:b w:val="0"/>
          <w:i w:val="0"/>
        </w:rPr>
      </w:r>
      <w:r>
        <w:rPr>
          <w:b/>
          <w:i w:val="0"/>
        </w:rPr>
        <w:t>Tables</w:t>
      </w:r>
      <w:r>
        <w:rPr>
          <w:b w:val="0"/>
          <w:i w:val="0"/>
        </w:rPr>
        <w:t xml:space="preserve"> reference typed datasets and semantic column IDs, with display formatting, header hierarchy, subtotal meaning and row ordering. A renderer may split a wide table into labeled panels or continue it across pages only under an explicit presentation policy. It must preserve enough headers and keys to interpret every displayed value.</w:t>
      </w:r>
    </w:p>
    <w:p>
      <w:r>
        <w:rPr>
          <w:b w:val="0"/>
          <w:i w:val="0"/>
        </w:rPr>
      </w:r>
      <w:r>
        <w:rPr>
          <w:b/>
          <w:i w:val="0"/>
        </w:rPr>
        <w:t>Pivots</w:t>
      </w:r>
      <w:r>
        <w:rPr>
          <w:b w:val="0"/>
          <w:i w:val="0"/>
        </w:rPr>
        <w:t xml:space="preserve"> are separate from ordinary tables. Store source data reference, row and column dimensions, aggregation definitions, filters, sort order, totals and a materialized result. The materialized result supports static rendering. A native spreadsheet adapter additionally creates actual pivot functionality when required. SpreadsheetML defines pivot layout and pivot-cache structures separately; display cells alone are not equivalent to a functional pivot. [S04]</w:t>
      </w:r>
    </w:p>
    <w:p>
      <w:r>
        <w:rPr>
          <w:b w:val="0"/>
          <w:i w:val="0"/>
        </w:rPr>
      </w:r>
      <w:r>
        <w:rPr>
          <w:b/>
          <w:i w:val="0"/>
        </w:rPr>
        <w:t>Charts</w:t>
      </w:r>
      <w:r>
        <w:rPr>
          <w:b w:val="0"/>
          <w:i w:val="0"/>
        </w:rPr>
        <w:t xml:space="preserve"> store data references and semantic specifications, including axis meaning, units, series, scales and domain policy. A chart's native editability is separate from its visual fallback. A vector/raster representation may accompany it without replacing the structured specification. A color or axis change that changes meaning belongs to semantic review, not merely styling.</w:t>
      </w:r>
    </w:p>
    <w:p>
      <w:r>
        <w:rPr>
          <w:b w:val="0"/>
          <w:i w:val="0"/>
        </w:rPr>
      </w:r>
      <w:r>
        <w:rPr>
          <w:b/>
          <w:i w:val="0"/>
        </w:rPr>
        <w:t>Images</w:t>
      </w:r>
      <w:r>
        <w:rPr>
          <w:b w:val="0"/>
          <w:i w:val="0"/>
        </w:rPr>
        <w:t xml:space="preserve"> reference immutable bytes, alternative text, intrinsic dimensions and intended meaning. Decorative and evidentiary images have different provenance requirements. A diagram that carries a substantive claim should not become an untraceable aesthetic asset.</w:t>
      </w:r>
    </w:p>
    <w:p>
      <w:pPr>
        <w:pStyle w:val="Heading2"/>
      </w:pPr>
      <w:r>
        <w:rPr>
          <w:b w:val="0"/>
          <w:i w:val="0"/>
        </w:rPr>
        <w:t>5. Flow, grid and canvas views</w:t>
      </w:r>
    </w:p>
    <w:p>
      <w:r>
        <w:rPr>
          <w:b w:val="0"/>
          <w:i w:val="0"/>
        </w:rPr>
        <w:t>These are three presentation families over the shared content graph. Do not implement a single universal layout algorithm and expect it to imitate them all.</w:t>
      </w:r>
    </w:p>
    <w:tbl>
      <w:tblPr>
        <w:tblW w:type="auto" w:w="0"/>
        <w:jc w:val="center"/>
        <w:tblLayout w:type="fixed"/>
        <w:tblLook w:firstColumn="1" w:firstRow="1" w:lastColumn="0" w:lastRow="0" w:noHBand="0" w:noVBand="1" w:val="04A0"/>
      </w:tblPr>
      <w:tblGrid>
        <w:gridCol w:w="1958"/>
        <w:gridCol w:w="3802"/>
        <w:gridCol w:w="3787"/>
      </w:tblGrid>
      <w:tr>
        <w:trPr>
          <w:cantSplit/>
          <w:tblHeader/>
        </w:trPr>
        <w:tc>
          <w:tcPr>
            <w:tcW w:type="dxa" w:w="1958"/>
            <w:vAlign w:val="top"/>
            <w:shd w:fill="173042"/>
            <w:tcMar>
              <w:top w:w="85" w:type="dxa"/>
              <w:left w:w="85" w:type="dxa"/>
              <w:bottom w:w="85" w:type="dxa"/>
              <w:right w:w="85" w:type="dxa"/>
            </w:tcMar>
          </w:tcPr>
          <w:p>
            <w:pPr>
              <w:pStyle w:val="TableHeader"/>
            </w:pPr>
            <w:r>
              <w:rPr>
                <w:b/>
                <w:i w:val="0"/>
                <w:color w:val="FFFFFF"/>
              </w:rPr>
              <w:t>View family</w:t>
            </w:r>
          </w:p>
        </w:tc>
        <w:tc>
          <w:tcPr>
            <w:tcW w:type="dxa" w:w="3802"/>
            <w:vAlign w:val="top"/>
            <w:shd w:fill="173042"/>
            <w:tcMar>
              <w:top w:w="85" w:type="dxa"/>
              <w:left w:w="85" w:type="dxa"/>
              <w:bottom w:w="85" w:type="dxa"/>
              <w:right w:w="85" w:type="dxa"/>
            </w:tcMar>
          </w:tcPr>
          <w:p>
            <w:pPr>
              <w:pStyle w:val="TableHeader"/>
            </w:pPr>
            <w:r>
              <w:rPr>
                <w:b/>
                <w:i w:val="0"/>
                <w:color w:val="FFFFFF"/>
              </w:rPr>
              <w:t>Primary rules</w:t>
            </w:r>
          </w:p>
        </w:tc>
        <w:tc>
          <w:tcPr>
            <w:tcW w:type="dxa" w:w="3787"/>
            <w:vAlign w:val="top"/>
            <w:shd w:fill="173042"/>
            <w:tcMar>
              <w:top w:w="85" w:type="dxa"/>
              <w:left w:w="85" w:type="dxa"/>
              <w:bottom w:w="85" w:type="dxa"/>
              <w:right w:w="85" w:type="dxa"/>
            </w:tcMar>
          </w:tcPr>
          <w:p>
            <w:pPr>
              <w:pStyle w:val="TableHeader"/>
            </w:pPr>
            <w:r>
              <w:rPr>
                <w:b/>
                <w:i w:val="0"/>
                <w:color w:val="FFFFFF"/>
              </w:rPr>
              <w:t>Typical targets</w:t>
            </w:r>
          </w:p>
        </w:tc>
      </w:tr>
      <w:tr>
        <w:trPr>
          <w:cantSplit/>
        </w:trPr>
        <w:tc>
          <w:tcPr>
            <w:tcW w:type="dxa" w:w="1958"/>
            <w:vAlign w:val="top"/>
            <w:shd w:fill="F0F5F7"/>
            <w:tcMar>
              <w:top w:w="85" w:type="dxa"/>
              <w:left w:w="85" w:type="dxa"/>
              <w:bottom w:w="85" w:type="dxa"/>
              <w:right w:w="85" w:type="dxa"/>
            </w:tcMar>
          </w:tcPr>
          <w:p>
            <w:pPr>
              <w:pStyle w:val="TableText"/>
            </w:pPr>
            <w:r>
              <w:rPr>
                <w:b w:val="0"/>
                <w:i w:val="0"/>
              </w:rPr>
              <w:t>Flow</w:t>
            </w:r>
          </w:p>
        </w:tc>
        <w:tc>
          <w:tcPr>
            <w:tcW w:type="dxa" w:w="3802"/>
            <w:vAlign w:val="top"/>
            <w:shd w:fill="F0F5F7"/>
            <w:tcMar>
              <w:top w:w="85" w:type="dxa"/>
              <w:left w:w="85" w:type="dxa"/>
              <w:bottom w:w="85" w:type="dxa"/>
              <w:right w:w="85" w:type="dxa"/>
            </w:tcMar>
          </w:tcPr>
          <w:p>
            <w:pPr>
              <w:pStyle w:val="TableText"/>
            </w:pPr>
            <w:r>
              <w:rPr>
                <w:b w:val="0"/>
                <w:i w:val="0"/>
              </w:rPr>
              <w:t>Paragraph styles, indentation, numbering, sections, page/column flow, tables and breaks.</w:t>
            </w:r>
          </w:p>
        </w:tc>
        <w:tc>
          <w:tcPr>
            <w:tcW w:type="dxa" w:w="3787"/>
            <w:vAlign w:val="top"/>
            <w:shd w:fill="F0F5F7"/>
            <w:tcMar>
              <w:top w:w="85" w:type="dxa"/>
              <w:left w:w="85" w:type="dxa"/>
              <w:bottom w:w="85" w:type="dxa"/>
              <w:right w:w="85" w:type="dxa"/>
            </w:tcMar>
          </w:tcPr>
          <w:p>
            <w:pPr>
              <w:pStyle w:val="TableText"/>
            </w:pPr>
            <w:r>
              <w:rPr>
                <w:b w:val="0"/>
                <w:i w:val="0"/>
              </w:rPr>
              <w:t>In-app reading view, DOCX and document-style PDF.</w:t>
            </w:r>
          </w:p>
        </w:tc>
      </w:tr>
      <w:tr>
        <w:trPr>
          <w:cantSplit/>
        </w:trPr>
        <w:tc>
          <w:tcPr>
            <w:tcW w:type="dxa" w:w="1958"/>
            <w:vAlign w:val="top"/>
            <w:shd w:fill="FFFFFF"/>
            <w:tcMar>
              <w:top w:w="85" w:type="dxa"/>
              <w:left w:w="85" w:type="dxa"/>
              <w:bottom w:w="85" w:type="dxa"/>
              <w:right w:w="85" w:type="dxa"/>
            </w:tcMar>
          </w:tcPr>
          <w:p>
            <w:pPr>
              <w:pStyle w:val="TableText"/>
            </w:pPr>
            <w:r>
              <w:rPr>
                <w:b w:val="0"/>
                <w:i w:val="0"/>
              </w:rPr>
              <w:t>Grid</w:t>
            </w:r>
          </w:p>
        </w:tc>
        <w:tc>
          <w:tcPr>
            <w:tcW w:type="dxa" w:w="3802"/>
            <w:vAlign w:val="top"/>
            <w:shd w:fill="FFFFFF"/>
            <w:tcMar>
              <w:top w:w="85" w:type="dxa"/>
              <w:left w:w="85" w:type="dxa"/>
              <w:bottom w:w="85" w:type="dxa"/>
              <w:right w:w="85" w:type="dxa"/>
            </w:tcMar>
          </w:tcPr>
          <w:p>
            <w:pPr>
              <w:pStyle w:val="TableText"/>
            </w:pPr>
            <w:r>
              <w:rPr>
                <w:b w:val="0"/>
                <w:i w:val="0"/>
              </w:rPr>
              <w:t>Sheets, row/column dimensions, region placement, cells, formulas, native pivots and print areas.</w:t>
            </w:r>
          </w:p>
        </w:tc>
        <w:tc>
          <w:tcPr>
            <w:tcW w:type="dxa" w:w="3787"/>
            <w:vAlign w:val="top"/>
            <w:shd w:fill="FFFFFF"/>
            <w:tcMar>
              <w:top w:w="85" w:type="dxa"/>
              <w:left w:w="85" w:type="dxa"/>
              <w:bottom w:w="85" w:type="dxa"/>
              <w:right w:w="85" w:type="dxa"/>
            </w:tcMar>
          </w:tcPr>
          <w:p>
            <w:pPr>
              <w:pStyle w:val="TableText"/>
            </w:pPr>
            <w:r>
              <w:rPr>
                <w:b w:val="0"/>
                <w:i w:val="0"/>
              </w:rPr>
              <w:t>In-app workbook view and XLSX.</w:t>
            </w:r>
          </w:p>
        </w:tc>
      </w:tr>
      <w:tr>
        <w:trPr>
          <w:cantSplit/>
        </w:trPr>
        <w:tc>
          <w:tcPr>
            <w:tcW w:type="dxa" w:w="1958"/>
            <w:vAlign w:val="top"/>
            <w:shd w:fill="F0F5F7"/>
            <w:tcMar>
              <w:top w:w="85" w:type="dxa"/>
              <w:left w:w="85" w:type="dxa"/>
              <w:bottom w:w="85" w:type="dxa"/>
              <w:right w:w="85" w:type="dxa"/>
            </w:tcMar>
          </w:tcPr>
          <w:p>
            <w:pPr>
              <w:pStyle w:val="TableText"/>
            </w:pPr>
            <w:r>
              <w:rPr>
                <w:b w:val="0"/>
                <w:i w:val="0"/>
              </w:rPr>
              <w:t>Canvas</w:t>
            </w:r>
          </w:p>
        </w:tc>
        <w:tc>
          <w:tcPr>
            <w:tcW w:type="dxa" w:w="3802"/>
            <w:vAlign w:val="top"/>
            <w:shd w:fill="F0F5F7"/>
            <w:tcMar>
              <w:top w:w="85" w:type="dxa"/>
              <w:left w:w="85" w:type="dxa"/>
              <w:bottom w:w="85" w:type="dxa"/>
              <w:right w:w="85" w:type="dxa"/>
            </w:tcMar>
          </w:tcPr>
          <w:p>
            <w:pPr>
              <w:pStyle w:val="TableText"/>
            </w:pPr>
            <w:r>
              <w:rPr>
                <w:b w:val="0"/>
                <w:i w:val="0"/>
              </w:rPr>
              <w:t>Slides, frames, ordering, anchored shapes and controlled overflow.</w:t>
            </w:r>
          </w:p>
        </w:tc>
        <w:tc>
          <w:tcPr>
            <w:tcW w:type="dxa" w:w="3787"/>
            <w:vAlign w:val="top"/>
            <w:shd w:fill="F0F5F7"/>
            <w:tcMar>
              <w:top w:w="85" w:type="dxa"/>
              <w:left w:w="85" w:type="dxa"/>
              <w:bottom w:w="85" w:type="dxa"/>
              <w:right w:w="85" w:type="dxa"/>
            </w:tcMar>
          </w:tcPr>
          <w:p>
            <w:pPr>
              <w:pStyle w:val="TableText"/>
            </w:pPr>
            <w:r>
              <w:rPr>
                <w:b w:val="0"/>
                <w:i w:val="0"/>
              </w:rPr>
              <w:t>In-app presentation view and PPTX.</w:t>
            </w:r>
          </w:p>
        </w:tc>
      </w:tr>
    </w:tbl>
    <w:p>
      <w:pPr>
        <w:spacing w:after="60" w:before="0" w:line="40" w:lineRule="exact"/>
      </w:pPr>
      <w:r>
        <w:rPr>
          <w:sz w:val="4"/>
        </w:rPr>
      </w:r>
    </w:p>
    <w:p>
      <w:r>
        <w:rPr>
          <w:b w:val="0"/>
          <w:i w:val="0"/>
        </w:rPr>
        <w:t xml:space="preserve">The native report stores presentation </w:t>
      </w:r>
      <w:r>
        <w:rPr>
          <w:b/>
          <w:i w:val="0"/>
        </w:rPr>
        <w:t>recipes</w:t>
      </w:r>
      <w:r>
        <w:rPr>
          <w:b w:val="0"/>
          <w:i w:val="0"/>
        </w:rPr>
        <w:t>. Compilation resolves content-dependent positions into target-specific layout artifacts. For example, a grid narrative block can be placed after a variable-height table rather than permanently at cell A23. A canvas recipe can spill repeated region panels into additional slides while preserving an explicit narrative order.</w:t>
      </w:r>
    </w:p>
    <w:p>
      <w:r>
        <w:rPr>
          <w:b w:val="0"/>
          <w:i w:val="0"/>
        </w:rPr>
        <w:t>Each view declares its intended coverage. A complete workbook might place detail on a second sheet. A complete deck might include an appendix. An executive view may deliberately omit details, but its scope must be declared and it must not claim complete coverage. Structural container nodes do not require their own visible box, but their included leaf content must be accounted for.</w:t>
      </w:r>
    </w:p>
    <w:p>
      <w:pPr>
        <w:pStyle w:val="Heading2"/>
      </w:pPr>
      <w:r>
        <w:rPr>
          <w:b w:val="0"/>
          <w:i w:val="0"/>
        </w:rPr>
        <w:t>6. Layout precision and precedence</w:t>
      </w:r>
    </w:p>
    <w:p>
      <w:r>
        <w:rPr>
          <w:b w:val="0"/>
          <w:i w:val="0"/>
        </w:rPr>
        <w:t xml:space="preserve">Style tokens define typography, spacing, palette and table conventions. Semantic roles such as </w:t>
      </w:r>
      <w:r>
        <w:rPr>
          <w:rFonts w:ascii="DejaVu Sans Mono" w:hAnsi="DejaVu Sans Mono"/>
          <w:b w:val="0"/>
          <w:i w:val="0"/>
          <w:sz w:val="17"/>
        </w:rPr>
        <w:t>heading.level2</w:t>
      </w:r>
      <w:r>
        <w:rPr>
          <w:b w:val="0"/>
          <w:i w:val="0"/>
        </w:rPr>
        <w:t xml:space="preserve"> or </w:t>
      </w:r>
      <w:r>
        <w:rPr>
          <w:rFonts w:ascii="DejaVu Sans Mono" w:hAnsi="DejaVu Sans Mono"/>
          <w:b w:val="0"/>
          <w:i w:val="0"/>
          <w:sz w:val="17"/>
        </w:rPr>
        <w:t>table.total</w:t>
      </w:r>
      <w:r>
        <w:rPr>
          <w:b w:val="0"/>
          <w:i w:val="0"/>
        </w:rPr>
        <w:t xml:space="preserve"> refer to those tokens. Precision overrides are available within each layout family: paragraph indents and tab stops in flow; widths, heights and anchors in grid; frames and z-order in canvas.</w:t>
      </w:r>
    </w:p>
    <w:p>
      <w:r>
        <w:rPr>
          <w:b w:val="0"/>
          <w:i w:val="0"/>
        </w:rPr>
        <w:t>Apply precedence in one documented direction: system defaults, report-type style, presentation recipe, explicit per-instance override. Renderers must not improvise another precedence order. Units are explicit; normalize physical dimensions internally, while retaining medium-specific concepts such as worksheet column widths.</w:t>
      </w:r>
    </w:p>
    <w:p>
      <w:r>
        <w:rPr>
          <w:b w:val="0"/>
          <w:i w:val="0"/>
        </w:rPr>
        <w:t>Exact indentation is preserved through paragraph properties, not spaces inserted into prose. python-docx exposes paragraph indentation, spacing and pagination controls, but the complete fidelity of a complex imported document still requires template handling and renderer testing. [S09]</w:t>
      </w:r>
    </w:p>
    <w:p>
      <w:pPr>
        <w:pStyle w:val="Heading2"/>
      </w:pPr>
      <w:r>
        <w:rPr>
          <w:b w:val="0"/>
          <w:i w:val="0"/>
        </w:rPr>
        <w:t>7. Portability and export capability</w:t>
      </w:r>
    </w:p>
    <w:p>
      <w:r>
        <w:rPr>
          <w:b w:val="0"/>
          <w:i w:val="0"/>
        </w:rPr>
        <w:t>A component's requirements are orthogonal: semantic coverage, visual fidelity, text/data editability and native behavior. Record them separately rather than using a misleading single “quality” score.</w:t>
      </w:r>
    </w:p>
    <w:p>
      <w:r>
        <w:rPr>
          <w:b w:val="0"/>
          <w:i w:val="0"/>
        </w:rPr>
        <w:t>Each exporter advertises a capability profile and schema version. Planning a render produces one decision per relevant component: native, equivalent static representation, raster/vector fallback, attachment/link, deliberately excluded by view scope, or unsupported. A required downgrade blocks by default unless an authorized policy already permits it.</w:t>
      </w:r>
    </w:p>
    <w:p>
      <w:r>
        <w:rPr>
          <w:b w:val="0"/>
          <w:i w:val="0"/>
        </w:rPr>
        <w:t xml:space="preserve">For example, a pivot in PDF is a static table by nature of that presentation. A pivot in an XLSX export marked </w:t>
      </w:r>
      <w:r>
        <w:rPr>
          <w:rFonts w:ascii="DejaVu Sans Mono" w:hAnsi="DejaVu Sans Mono"/>
          <w:b w:val="0"/>
          <w:i w:val="0"/>
          <w:sz w:val="17"/>
        </w:rPr>
        <w:t>native.required</w:t>
      </w:r>
      <w:r>
        <w:rPr>
          <w:b w:val="0"/>
          <w:i w:val="0"/>
        </w:rPr>
        <w:t xml:space="preserve"> must be a functioning pivot in the tested target application, not a screenshot or merely a table with filters. A required unsupported OLAP pivot cannot silently be treated as a supported flat-data pivot.</w:t>
      </w:r>
    </w:p>
    <w:p>
      <w:pPr>
        <w:pStyle w:val="Heading2"/>
      </w:pPr>
      <w:r>
        <w:rPr>
          <w:b w:val="0"/>
          <w:i w:val="0"/>
        </w:rPr>
        <w:t>8. Claims and narrative obligations</w:t>
      </w:r>
    </w:p>
    <w:p>
      <w:r>
        <w:rPr>
          <w:b w:val="0"/>
          <w:i w:val="0"/>
        </w:rPr>
        <w:t>Writing rules support three modes: exact content, computed/template content, and evidence-grounded composition. A section may mix all three.</w:t>
      </w:r>
    </w:p>
    <w:p>
      <w:r>
        <w:rPr>
          <w:b w:val="0"/>
          <w:i w:val="0"/>
        </w:rPr>
        <w:t>An exact paragraph has protected text and precise substitution points. A computed paragraph selects facts and wording using defined rules. A composed paragraph has an objective, evidence scope, required claims, forbidden inferences, tone and length expectations. Its contract does not try to encode every acceptable sentence.</w:t>
      </w:r>
    </w:p>
    <w:p>
      <w:r>
        <w:rPr>
          <w:b w:val="0"/>
          <w:i w:val="0"/>
        </w:rPr>
        <w:t>Fact-reference runs control numerical substitution but not truth of surrounding language. “Increased,” “largest,” “caused by” and “all regions” add claims. Arithmetic or ranking assertions can have deterministic checks; causal and interpretive statements need suitable evidence and, where appropriate, semantic or human review.</w:t>
      </w:r>
    </w:p>
    <w:p>
      <w:r>
        <w:rPr>
          <w:b w:val="0"/>
          <w:i w:val="0"/>
        </w:rPr>
        <w:t>Evidence IDs are support candidates, not a proof certificate. A generation step can cite the wrong source. Store the linkage for inspection and evaluate whether it actually supports the wording.</w:t>
      </w:r>
    </w:p>
    <w:p>
      <w:pPr>
        <w:pStyle w:val="Heading2"/>
      </w:pPr>
      <w:r>
        <w:rPr>
          <w:b w:val="0"/>
          <w:i w:val="0"/>
        </w:rPr>
        <w:t>9. References, lineage and immutability</w:t>
      </w:r>
    </w:p>
    <w:p>
      <w:r>
        <w:rPr>
          <w:b w:val="0"/>
          <w:i w:val="0"/>
        </w:rPr>
        <w:t>Use stable IDs instead of positional paths such as “paragraph 12” as report identity. Source locators may still include page regions, worksheet ranges or XML paths because they locate observations in immutable original files. Record parser version and source digest with those locators.</w:t>
      </w:r>
    </w:p>
    <w:p>
      <w:r>
        <w:rPr>
          <w:b w:val="0"/>
          <w:i w:val="0"/>
        </w:rPr>
        <w:t>Aggregate lineage can be a reproducible query, source-set digest and row-selection artifact; it need not enumerate millions of row IDs inline. Derived tables record their transformation and upstream references. Access rules follow the dependency graph, but publication explicitly decides which information may be embedded in an export.</w:t>
      </w:r>
    </w:p>
    <w:p>
      <w:r>
        <w:rPr>
          <w:b w:val="0"/>
          <w:i w:val="0"/>
        </w:rPr>
        <w:t>Once frozen, a snapshot contains resolved references to exact object versions. A “latest commentary” link is not sufficient for reproducibility. Any later revision creates a new snapshot and invalidates only affected downstream content and exports.</w:t>
      </w:r>
    </w:p>
    <w:p>
      <w:pPr>
        <w:pStyle w:val="Heading2"/>
      </w:pPr>
      <w:r>
        <w:rPr>
          <w:b w:val="0"/>
          <w:i w:val="0"/>
        </w:rPr>
        <w:t>10. Schema policy</w:t>
      </w:r>
    </w:p>
    <w:p>
      <w:r>
        <w:rPr>
          <w:b w:val="0"/>
          <w:i w:val="0"/>
        </w:rPr>
        <w:t>Validate external boundaries and durable artifacts strictly: source-role bindings, tool results, published program manifests, snapshots, work orders and export manifests. During exploration, let reasoning notes and hypotheses remain ordinary text. Do not force every intermediate thought into a large universal schema.</w:t>
      </w:r>
    </w:p>
    <w:p>
      <w:r>
        <w:rPr>
          <w:b w:val="0"/>
          <w:i w:val="0"/>
        </w:rPr>
        <w:t>Use discriminated unions for typed blocks, explicit schema versions and reference-resolution checks. Schema validation proves shape, not correct arithmetic or truthful prose. Separate semantic validators enforce unit compatibility, period boundaries, reference integrity, view coverage and required capabilities.</w:t>
      </w:r>
    </w:p>
    <w:p>
      <w:r>
        <w:rPr>
          <w:b w:val="0"/>
          <w:i w:val="0"/>
        </w:rPr>
        <w:t xml:space="preserve">The supplied </w:t>
      </w:r>
      <w:r>
        <w:rPr>
          <w:rFonts w:ascii="DejaVu Sans Mono" w:hAnsi="DejaVu Sans Mono"/>
          <w:b w:val="0"/>
          <w:i w:val="0"/>
          <w:sz w:val="17"/>
        </w:rPr>
        <w:t>report-snapshot.schema.json</w:t>
      </w:r>
      <w:r>
        <w:rPr>
          <w:b w:val="0"/>
          <w:i w:val="0"/>
        </w:rPr>
        <w:t xml:space="preserve"> and </w:t>
      </w:r>
      <w:r>
        <w:rPr>
          <w:rFonts w:ascii="DejaVu Sans Mono" w:hAnsi="DejaVu Sans Mono"/>
          <w:b w:val="0"/>
          <w:i w:val="0"/>
          <w:sz w:val="17"/>
        </w:rPr>
        <w:t>export-manifest.schema.json</w:t>
      </w:r>
      <w:r>
        <w:rPr>
          <w:b w:val="0"/>
          <w:i w:val="0"/>
        </w:rPr>
        <w:t xml:space="preserve"> implement a small reference core, not the entire proposed platform. They intentionally demonstrate concrete facts, linked datasets, four block types plus sections, three view families and fidelity decisions. Advanced table spans, source-locator variants and precision-style contracts require their own versioned schemas before implementation.</w:t>
      </w:r>
    </w:p>
    <w:p>
      <w:pPr>
        <w:pStyle w:val="Heading1"/>
        <w:pageBreakBefore w:val="0"/>
        <w:spacing w:before="460"/>
      </w:pPr>
      <w:r>
        <w:rPr>
          <w:b w:val="0"/>
          <w:i w:val="0"/>
        </w:rPr>
        <w:t>03 · Ingestion and learning from examples</w:t>
      </w:r>
    </w:p>
    <w:p>
      <w:pPr>
        <w:pStyle w:val="Heading2"/>
      </w:pPr>
      <w:r>
        <w:rPr>
          <w:b w:val="0"/>
          <w:i w:val="0"/>
        </w:rPr>
        <w:t>1. Ingest for two purposes</w:t>
      </w:r>
    </w:p>
    <w:p>
      <w:r>
        <w:rPr>
          <w:b w:val="0"/>
          <w:i w:val="0"/>
        </w:rPr>
        <w:t>Maintain two linked views of each file: a faithful structural observation of the original and a queryable representation of the data or content relevant to reporting. Do not use plain-text extraction as the only retained representation. Do not turn every source into a giant language-model prompt.</w:t>
      </w:r>
    </w:p>
    <w:p>
      <w:r>
        <w:rPr>
          <w:b w:val="0"/>
          <w:i w:val="0"/>
        </w:rPr>
        <w:t>A source catalog entry records immutable bytes, detected format, size, source role, declared period, parser version, extraction status, warnings and available structural/data artifacts. Role and period can be proposed automatically, but ambiguity that affects required computations must be resolved before acceptance.</w:t>
      </w:r>
    </w:p>
    <w:p>
      <w:r>
        <w:rPr>
          <w:b w:val="0"/>
          <w:i w:val="0"/>
        </w:rPr>
        <w:t>The same workbook can contain a raw-data sheet, calculation sheets and a historical report sheet. Represent those regions separately. A historical report's formulas are useful learning evidence; its final values are not permitted as a shortcut for generating an unseen period. Evaluation access controls must enforce that distinction.</w:t>
      </w:r>
    </w:p>
    <w:p>
      <w:pPr>
        <w:pStyle w:val="Heading2"/>
      </w:pPr>
      <w:r>
        <w:rPr>
          <w:b w:val="0"/>
          <w:i w:val="0"/>
        </w:rPr>
        <w:t>2. Format-aware acquisition</w:t>
      </w:r>
    </w:p>
    <w:tbl>
      <w:tblPr>
        <w:tblW w:type="auto" w:w="0"/>
        <w:jc w:val="center"/>
        <w:tblLayout w:type="fixed"/>
        <w:tblLook w:firstColumn="1" w:firstRow="1" w:lastColumn="0" w:lastRow="0" w:noHBand="0" w:noVBand="1" w:val="04A0"/>
      </w:tblPr>
      <w:tblGrid>
        <w:gridCol w:w="1958"/>
        <w:gridCol w:w="3802"/>
        <w:gridCol w:w="3787"/>
      </w:tblGrid>
      <w:tr>
        <w:trPr>
          <w:cantSplit/>
          <w:tblHeader/>
        </w:trPr>
        <w:tc>
          <w:tcPr>
            <w:tcW w:type="dxa" w:w="1958"/>
            <w:vAlign w:val="top"/>
            <w:shd w:fill="173042"/>
            <w:tcMar>
              <w:top w:w="85" w:type="dxa"/>
              <w:left w:w="85" w:type="dxa"/>
              <w:bottom w:w="85" w:type="dxa"/>
              <w:right w:w="85" w:type="dxa"/>
            </w:tcMar>
          </w:tcPr>
          <w:p>
            <w:pPr>
              <w:pStyle w:val="TableHeader"/>
            </w:pPr>
            <w:r>
              <w:rPr>
                <w:b/>
                <w:i w:val="0"/>
                <w:color w:val="FFFFFF"/>
              </w:rPr>
              <w:t>Source family</w:t>
            </w:r>
          </w:p>
        </w:tc>
        <w:tc>
          <w:tcPr>
            <w:tcW w:type="dxa" w:w="3802"/>
            <w:vAlign w:val="top"/>
            <w:shd w:fill="173042"/>
            <w:tcMar>
              <w:top w:w="85" w:type="dxa"/>
              <w:left w:w="85" w:type="dxa"/>
              <w:bottom w:w="85" w:type="dxa"/>
              <w:right w:w="85" w:type="dxa"/>
            </w:tcMar>
          </w:tcPr>
          <w:p>
            <w:pPr>
              <w:pStyle w:val="TableHeader"/>
            </w:pPr>
            <w:r>
              <w:rPr>
                <w:b/>
                <w:i w:val="0"/>
                <w:color w:val="FFFFFF"/>
              </w:rPr>
              <w:t>Preserve and inspect</w:t>
            </w:r>
          </w:p>
        </w:tc>
        <w:tc>
          <w:tcPr>
            <w:tcW w:type="dxa" w:w="3787"/>
            <w:vAlign w:val="top"/>
            <w:shd w:fill="173042"/>
            <w:tcMar>
              <w:top w:w="85" w:type="dxa"/>
              <w:left w:w="85" w:type="dxa"/>
              <w:bottom w:w="85" w:type="dxa"/>
              <w:right w:w="85" w:type="dxa"/>
            </w:tcMar>
          </w:tcPr>
          <w:p>
            <w:pPr>
              <w:pStyle w:val="TableHeader"/>
            </w:pPr>
            <w:r>
              <w:rPr>
                <w:b/>
                <w:i w:val="0"/>
                <w:color w:val="FFFFFF"/>
              </w:rPr>
              <w:t>Production data path</w:t>
            </w:r>
          </w:p>
        </w:tc>
      </w:tr>
      <w:tr>
        <w:trPr>
          <w:cantSplit/>
        </w:trPr>
        <w:tc>
          <w:tcPr>
            <w:tcW w:type="dxa" w:w="1958"/>
            <w:vAlign w:val="top"/>
            <w:shd w:fill="F0F5F7"/>
            <w:tcMar>
              <w:top w:w="85" w:type="dxa"/>
              <w:left w:w="85" w:type="dxa"/>
              <w:bottom w:w="85" w:type="dxa"/>
              <w:right w:w="85" w:type="dxa"/>
            </w:tcMar>
          </w:tcPr>
          <w:p>
            <w:pPr>
              <w:pStyle w:val="TableText"/>
            </w:pPr>
            <w:r>
              <w:rPr>
                <w:b w:val="0"/>
                <w:i w:val="0"/>
              </w:rPr>
              <w:t>CSV and other delimited data</w:t>
            </w:r>
          </w:p>
        </w:tc>
        <w:tc>
          <w:tcPr>
            <w:tcW w:type="dxa" w:w="3802"/>
            <w:vAlign w:val="top"/>
            <w:shd w:fill="F0F5F7"/>
            <w:tcMar>
              <w:top w:w="85" w:type="dxa"/>
              <w:left w:w="85" w:type="dxa"/>
              <w:bottom w:w="85" w:type="dxa"/>
              <w:right w:w="85" w:type="dxa"/>
            </w:tcMar>
          </w:tcPr>
          <w:p>
            <w:pPr>
              <w:pStyle w:val="TableText"/>
            </w:pPr>
            <w:r>
              <w:rPr>
                <w:b w:val="0"/>
                <w:i w:val="0"/>
              </w:rPr>
              <w:t>Encoding, dialect, header structure, inferred versus declared types, rejected records.</w:t>
            </w:r>
          </w:p>
        </w:tc>
        <w:tc>
          <w:tcPr>
            <w:tcW w:type="dxa" w:w="3787"/>
            <w:vAlign w:val="top"/>
            <w:shd w:fill="F0F5F7"/>
            <w:tcMar>
              <w:top w:w="85" w:type="dxa"/>
              <w:left w:w="85" w:type="dxa"/>
              <w:bottom w:w="85" w:type="dxa"/>
              <w:right w:w="85" w:type="dxa"/>
            </w:tcMar>
          </w:tcPr>
          <w:p>
            <w:pPr>
              <w:pStyle w:val="TableText"/>
            </w:pPr>
            <w:r>
              <w:rPr>
                <w:b w:val="0"/>
                <w:i w:val="0"/>
              </w:rPr>
              <w:t>Stream into typed columnar data, then query/filter/aggregate.</w:t>
            </w:r>
          </w:p>
        </w:tc>
      </w:tr>
      <w:tr>
        <w:trPr>
          <w:cantSplit/>
        </w:trPr>
        <w:tc>
          <w:tcPr>
            <w:tcW w:type="dxa" w:w="1958"/>
            <w:vAlign w:val="top"/>
            <w:shd w:fill="FFFFFF"/>
            <w:tcMar>
              <w:top w:w="85" w:type="dxa"/>
              <w:left w:w="85" w:type="dxa"/>
              <w:bottom w:w="85" w:type="dxa"/>
              <w:right w:w="85" w:type="dxa"/>
            </w:tcMar>
          </w:tcPr>
          <w:p>
            <w:pPr>
              <w:pStyle w:val="TableText"/>
            </w:pPr>
            <w:r>
              <w:rPr>
                <w:b w:val="0"/>
                <w:i w:val="0"/>
              </w:rPr>
              <w:t>XLSX/XLSM</w:t>
            </w:r>
          </w:p>
        </w:tc>
        <w:tc>
          <w:tcPr>
            <w:tcW w:type="dxa" w:w="3802"/>
            <w:vAlign w:val="top"/>
            <w:shd w:fill="FFFFFF"/>
            <w:tcMar>
              <w:top w:w="85" w:type="dxa"/>
              <w:left w:w="85" w:type="dxa"/>
              <w:bottom w:w="85" w:type="dxa"/>
              <w:right w:w="85" w:type="dxa"/>
            </w:tcMar>
          </w:tcPr>
          <w:p>
            <w:pPr>
              <w:pStyle w:val="TableText"/>
            </w:pPr>
            <w:r>
              <w:rPr>
                <w:b w:val="0"/>
                <w:i w:val="0"/>
              </w:rPr>
              <w:t>Sheets, cells, formulas, cached values, number formats, merges, named ranges, hidden state, tables, charts, pivot metadata and relationships.</w:t>
            </w:r>
          </w:p>
        </w:tc>
        <w:tc>
          <w:tcPr>
            <w:tcW w:type="dxa" w:w="3787"/>
            <w:vAlign w:val="top"/>
            <w:shd w:fill="FFFFFF"/>
            <w:tcMar>
              <w:top w:w="85" w:type="dxa"/>
              <w:left w:w="85" w:type="dxa"/>
              <w:bottom w:w="85" w:type="dxa"/>
              <w:right w:w="85" w:type="dxa"/>
            </w:tcMar>
          </w:tcPr>
          <w:p>
            <w:pPr>
              <w:pStyle w:val="TableText"/>
            </w:pPr>
            <w:r>
              <w:rPr>
                <w:b w:val="0"/>
                <w:i w:val="0"/>
              </w:rPr>
              <w:t>Extract approved regions into typed datasets; retain structure sidecars. Never execute macros automatically.</w:t>
            </w:r>
          </w:p>
        </w:tc>
      </w:tr>
      <w:tr>
        <w:trPr>
          <w:cantSplit/>
        </w:trPr>
        <w:tc>
          <w:tcPr>
            <w:tcW w:type="dxa" w:w="1958"/>
            <w:vAlign w:val="top"/>
            <w:shd w:fill="F0F5F7"/>
            <w:tcMar>
              <w:top w:w="85" w:type="dxa"/>
              <w:left w:w="85" w:type="dxa"/>
              <w:bottom w:w="85" w:type="dxa"/>
              <w:right w:w="85" w:type="dxa"/>
            </w:tcMar>
          </w:tcPr>
          <w:p>
            <w:pPr>
              <w:pStyle w:val="TableText"/>
            </w:pPr>
            <w:r>
              <w:rPr>
                <w:b w:val="0"/>
                <w:i w:val="0"/>
              </w:rPr>
              <w:t>XLS/XLSB and other legacy spreadsheets</w:t>
            </w:r>
          </w:p>
        </w:tc>
        <w:tc>
          <w:tcPr>
            <w:tcW w:type="dxa" w:w="3802"/>
            <w:vAlign w:val="top"/>
            <w:shd w:fill="F0F5F7"/>
            <w:tcMar>
              <w:top w:w="85" w:type="dxa"/>
              <w:left w:w="85" w:type="dxa"/>
              <w:bottom w:w="85" w:type="dxa"/>
              <w:right w:w="85" w:type="dxa"/>
            </w:tcMar>
          </w:tcPr>
          <w:p>
            <w:pPr>
              <w:pStyle w:val="TableText"/>
            </w:pPr>
            <w:r>
              <w:rPr>
                <w:b w:val="0"/>
                <w:i w:val="0"/>
              </w:rPr>
              <w:t>Original bytes and engine-specific observations; record any unavailable structure.</w:t>
            </w:r>
          </w:p>
        </w:tc>
        <w:tc>
          <w:tcPr>
            <w:tcW w:type="dxa" w:w="3787"/>
            <w:vAlign w:val="top"/>
            <w:shd w:fill="F0F5F7"/>
            <w:tcMar>
              <w:top w:w="85" w:type="dxa"/>
              <w:left w:w="85" w:type="dxa"/>
              <w:bottom w:w="85" w:type="dxa"/>
              <w:right w:w="85" w:type="dxa"/>
            </w:tcMar>
          </w:tcPr>
          <w:p>
            <w:pPr>
              <w:pStyle w:val="TableText"/>
            </w:pPr>
            <w:r>
              <w:rPr>
                <w:b w:val="0"/>
                <w:i w:val="0"/>
              </w:rPr>
              <w:t>Use format-capable readers for values; add separate structural/conversion adapters only when certified.</w:t>
            </w:r>
          </w:p>
        </w:tc>
      </w:tr>
      <w:tr>
        <w:trPr>
          <w:cantSplit/>
        </w:trPr>
        <w:tc>
          <w:tcPr>
            <w:tcW w:type="dxa" w:w="1958"/>
            <w:vAlign w:val="top"/>
            <w:shd w:fill="FFFFFF"/>
            <w:tcMar>
              <w:top w:w="85" w:type="dxa"/>
              <w:left w:w="85" w:type="dxa"/>
              <w:bottom w:w="85" w:type="dxa"/>
              <w:right w:w="85" w:type="dxa"/>
            </w:tcMar>
          </w:tcPr>
          <w:p>
            <w:pPr>
              <w:pStyle w:val="TableText"/>
            </w:pPr>
            <w:r>
              <w:rPr>
                <w:b w:val="0"/>
                <w:i w:val="0"/>
              </w:rPr>
              <w:t>DOCX</w:t>
            </w:r>
          </w:p>
        </w:tc>
        <w:tc>
          <w:tcPr>
            <w:tcW w:type="dxa" w:w="3802"/>
            <w:vAlign w:val="top"/>
            <w:shd w:fill="FFFFFF"/>
            <w:tcMar>
              <w:top w:w="85" w:type="dxa"/>
              <w:left w:w="85" w:type="dxa"/>
              <w:bottom w:w="85" w:type="dxa"/>
              <w:right w:w="85" w:type="dxa"/>
            </w:tcMar>
          </w:tcPr>
          <w:p>
            <w:pPr>
              <w:pStyle w:val="TableText"/>
            </w:pPr>
            <w:r>
              <w:rPr>
                <w:b w:val="0"/>
                <w:i w:val="0"/>
              </w:rPr>
              <w:t>Paragraph/run structure, styles and inheritance, numbering, tables, sections, media and relationships.</w:t>
            </w:r>
          </w:p>
        </w:tc>
        <w:tc>
          <w:tcPr>
            <w:tcW w:type="dxa" w:w="3787"/>
            <w:vAlign w:val="top"/>
            <w:shd w:fill="FFFFFF"/>
            <w:tcMar>
              <w:top w:w="85" w:type="dxa"/>
              <w:left w:w="85" w:type="dxa"/>
              <w:bottom w:w="85" w:type="dxa"/>
              <w:right w:w="85" w:type="dxa"/>
            </w:tcMar>
          </w:tcPr>
          <w:p>
            <w:pPr>
              <w:pStyle w:val="TableText"/>
            </w:pPr>
            <w:r>
              <w:rPr>
                <w:b w:val="0"/>
                <w:i w:val="0"/>
              </w:rPr>
              <w:t>Located excerpts, semantic blocks and extracted tables with provenance.</w:t>
            </w:r>
          </w:p>
        </w:tc>
      </w:tr>
      <w:tr>
        <w:trPr>
          <w:cantSplit/>
        </w:trPr>
        <w:tc>
          <w:tcPr>
            <w:tcW w:type="dxa" w:w="1958"/>
            <w:vAlign w:val="top"/>
            <w:shd w:fill="F0F5F7"/>
            <w:tcMar>
              <w:top w:w="85" w:type="dxa"/>
              <w:left w:w="85" w:type="dxa"/>
              <w:bottom w:w="85" w:type="dxa"/>
              <w:right w:w="85" w:type="dxa"/>
            </w:tcMar>
          </w:tcPr>
          <w:p>
            <w:pPr>
              <w:pStyle w:val="TableText"/>
            </w:pPr>
            <w:r>
              <w:rPr>
                <w:b w:val="0"/>
                <w:i w:val="0"/>
              </w:rPr>
              <w:t>PDF</w:t>
            </w:r>
          </w:p>
        </w:tc>
        <w:tc>
          <w:tcPr>
            <w:tcW w:type="dxa" w:w="3802"/>
            <w:vAlign w:val="top"/>
            <w:shd w:fill="F0F5F7"/>
            <w:tcMar>
              <w:top w:w="85" w:type="dxa"/>
              <w:left w:w="85" w:type="dxa"/>
              <w:bottom w:w="85" w:type="dxa"/>
              <w:right w:w="85" w:type="dxa"/>
            </w:tcMar>
          </w:tcPr>
          <w:p>
            <w:pPr>
              <w:pStyle w:val="TableText"/>
            </w:pPr>
            <w:r>
              <w:rPr>
                <w:b w:val="0"/>
                <w:i w:val="0"/>
              </w:rPr>
              <w:t>Text geometry, page coordinates, reading order, table candidates, images and extraction uncertainty.</w:t>
            </w:r>
          </w:p>
        </w:tc>
        <w:tc>
          <w:tcPr>
            <w:tcW w:type="dxa" w:w="3787"/>
            <w:vAlign w:val="top"/>
            <w:shd w:fill="F0F5F7"/>
            <w:tcMar>
              <w:top w:w="85" w:type="dxa"/>
              <w:left w:w="85" w:type="dxa"/>
              <w:bottom w:w="85" w:type="dxa"/>
              <w:right w:w="85" w:type="dxa"/>
            </w:tcMar>
          </w:tcPr>
          <w:p>
            <w:pPr>
              <w:pStyle w:val="TableText"/>
            </w:pPr>
            <w:r>
              <w:rPr>
                <w:b w:val="0"/>
                <w:i w:val="0"/>
              </w:rPr>
              <w:t>Native text/layout first; visual or OCR recovery only for regions that need it.</w:t>
            </w:r>
          </w:p>
        </w:tc>
      </w:tr>
      <w:tr>
        <w:trPr>
          <w:cantSplit/>
        </w:trPr>
        <w:tc>
          <w:tcPr>
            <w:tcW w:type="dxa" w:w="1958"/>
            <w:vAlign w:val="top"/>
            <w:shd w:fill="FFFFFF"/>
            <w:tcMar>
              <w:top w:w="85" w:type="dxa"/>
              <w:left w:w="85" w:type="dxa"/>
              <w:bottom w:w="85" w:type="dxa"/>
              <w:right w:w="85" w:type="dxa"/>
            </w:tcMar>
          </w:tcPr>
          <w:p>
            <w:pPr>
              <w:pStyle w:val="TableText"/>
            </w:pPr>
            <w:r>
              <w:rPr>
                <w:b w:val="0"/>
                <w:i w:val="0"/>
              </w:rPr>
              <w:t>Legacy DOC, scanned documents and images</w:t>
            </w:r>
          </w:p>
        </w:tc>
        <w:tc>
          <w:tcPr>
            <w:tcW w:type="dxa" w:w="3802"/>
            <w:vAlign w:val="top"/>
            <w:shd w:fill="FFFFFF"/>
            <w:tcMar>
              <w:top w:w="85" w:type="dxa"/>
              <w:left w:w="85" w:type="dxa"/>
              <w:bottom w:w="85" w:type="dxa"/>
              <w:right w:w="85" w:type="dxa"/>
            </w:tcMar>
          </w:tcPr>
          <w:p>
            <w:pPr>
              <w:pStyle w:val="TableText"/>
            </w:pPr>
            <w:r>
              <w:rPr>
                <w:b w:val="0"/>
                <w:i w:val="0"/>
              </w:rPr>
              <w:t>Original plus conversion/recovery artifacts and their limitations.</w:t>
            </w:r>
          </w:p>
        </w:tc>
        <w:tc>
          <w:tcPr>
            <w:tcW w:type="dxa" w:w="3787"/>
            <w:vAlign w:val="top"/>
            <w:shd w:fill="FFFFFF"/>
            <w:tcMar>
              <w:top w:w="85" w:type="dxa"/>
              <w:left w:w="85" w:type="dxa"/>
              <w:bottom w:w="85" w:type="dxa"/>
              <w:right w:w="85" w:type="dxa"/>
            </w:tcMar>
          </w:tcPr>
          <w:p>
            <w:pPr>
              <w:pStyle w:val="TableText"/>
            </w:pPr>
            <w:r>
              <w:rPr>
                <w:b w:val="0"/>
                <w:i w:val="0"/>
              </w:rPr>
              <w:t>Isolated conversion or visual extraction; never label recovered structure as certain without checks.</w:t>
            </w:r>
          </w:p>
        </w:tc>
      </w:tr>
    </w:tbl>
    <w:p>
      <w:pPr>
        <w:spacing w:after="60" w:before="0" w:line="40" w:lineRule="exact"/>
      </w:pPr>
      <w:r>
        <w:rPr>
          <w:sz w:val="4"/>
        </w:rPr>
      </w:r>
    </w:p>
    <w:p>
      <w:r>
        <w:rPr>
          <w:b w:val="0"/>
          <w:i w:val="0"/>
        </w:rPr>
        <w:t>pandas documents value-reading engines covering modern and legacy spreadsheet formats. That is useful for the data path; it is not evidence that converting a workbook into DataFrames preserves its full presentation or native behavior. [S03]</w:t>
      </w:r>
    </w:p>
    <w:p>
      <w:r>
        <w:rPr>
          <w:b w:val="0"/>
          <w:i w:val="0"/>
        </w:rPr>
        <w:t>Docling's document representation includes hierarchy, text, tables, pictures, available layout and provenance. I would evaluate it as an input-normalization component, while keeping workbook-native inspection and precise Office structure handling outside that abstraction. It is not the canonical output model or a guarantee of lossless import. [S02]</w:t>
      </w:r>
    </w:p>
    <w:p>
      <w:pPr>
        <w:pStyle w:val="Heading2"/>
      </w:pPr>
      <w:r>
        <w:rPr>
          <w:b w:val="0"/>
          <w:i w:val="0"/>
        </w:rPr>
        <w:t>3. Heavy data must stay outside model context</w:t>
      </w:r>
    </w:p>
    <w:p>
      <w:r>
        <w:rPr>
          <w:b w:val="0"/>
          <w:i w:val="0"/>
        </w:rPr>
        <w:t>During exploration, expose a catalog of sheets, regions, schemas, row counts, sampled rows, basic profiles and targeted queries. Let the learner request aggregates, exceptions and relevant slices. Never assume that the first rows accurately represent all categories, dates or malformed records.</w:t>
      </w:r>
    </w:p>
    <w:p>
      <w:r>
        <w:rPr>
          <w:b w:val="0"/>
          <w:i w:val="0"/>
        </w:rPr>
        <w:t>For large delimited files, dialect sniffing is a proposal. Freeze the accepted delimiter, quoting, encoding and type contract for production. Validate the entire relevant input against that contract and retain rejected-record counts and examples. Leading-zero identifiers, decimal commas, locale dates and strings resembling null markers require explicit treatment. DuckDB provides CSV sniffing and configurable detection behavior; the product should persist the chosen interpretation instead of silently repeating inference each run. [S08]</w:t>
      </w:r>
    </w:p>
    <w:p>
      <w:r>
        <w:rPr>
          <w:b w:val="0"/>
          <w:i w:val="0"/>
        </w:rPr>
        <w:t>Use DuckDB over staged columnar artifacts for filtering and aggregation. Configure memory, temporary storage, thread count and execution limits. DuckDB supports disk spilling for larger-than-memory workloads, but its documentation also identifies limitations; “uses DuckDB” is not a sufficient scalability guarantee. Include worst-case joins, sorts and aggregation cardinalities in load tests. [S07]</w:t>
      </w:r>
    </w:p>
    <w:p>
      <w:r>
        <w:rPr>
          <w:b w:val="0"/>
          <w:i w:val="0"/>
        </w:rPr>
        <w:t>The learner sees summaries of expensive outputs and receives an artifact reference for the full result. Limit tool output by both size and semantic purpose. A sample is labeled as a sample, never represented as complete evidence.</w:t>
      </w:r>
    </w:p>
    <w:p>
      <w:pPr>
        <w:pStyle w:val="Heading2"/>
      </w:pPr>
      <w:r>
        <w:rPr>
          <w:b w:val="0"/>
          <w:i w:val="0"/>
        </w:rPr>
        <w:t>4. Spreadsheet-specific reconstruction</w:t>
      </w:r>
    </w:p>
    <w:p>
      <w:r>
        <w:rPr>
          <w:b w:val="0"/>
          <w:i w:val="0"/>
        </w:rPr>
        <w:t>Inspect a workbook as a document and a computational artifact. Visual layout can identify report regions; formulas, references, named ranges and pivot definitions can reveal intended derivations. Multirow headers, subtotal rows and merged labels must be interpreted before forming normalized tables. Hidden rows or sheets are not automatically irrelevant, nor automatically authorized for export.</w:t>
      </w:r>
    </w:p>
    <w:p>
      <w:r>
        <w:rPr>
          <w:b w:val="0"/>
          <w:i w:val="0"/>
        </w:rPr>
        <w:t>Treat formula text, cached results and recalculated results as separate observations. Cached values can be absent or stale. A formula-writing library is not necessarily a calculation engine: XlsxWriter explicitly documents that it does not evaluate formulas and that cached results matter for non-calculating viewers. [S06]</w:t>
      </w:r>
    </w:p>
    <w:p>
      <w:r>
        <w:rPr>
          <w:b w:val="0"/>
          <w:i w:val="0"/>
        </w:rPr>
        <w:t>Choose an explicit policy for every required formula-derived input: recompute through the learned data program, use a certified calculation backend, or accept a documented source snapshot as authoritative. A refresh flag is not proof that the server has fresh results. Unsupported formulas or external workbook references become visible dependencies, not silent zeros.</w:t>
      </w:r>
    </w:p>
    <w:p>
      <w:r>
        <w:rPr>
          <w:b w:val="0"/>
          <w:i w:val="0"/>
        </w:rPr>
        <w:t>Inspect pivot definitions, caches and visible results together. Their relationship is defined in SpreadsheetML; the displayed worksheet cells alone are not the entire pivot data source. [S04] Reconcile totals against the permitted source data before adopting the inferred rule.</w:t>
      </w:r>
    </w:p>
    <w:p>
      <w:pPr>
        <w:pStyle w:val="Heading2"/>
      </w:pPr>
      <w:r>
        <w:rPr>
          <w:b w:val="0"/>
          <w:i w:val="0"/>
        </w:rPr>
        <w:t>5. Learning starts from an acceptance map</w:t>
      </w:r>
    </w:p>
    <w:p>
      <w:r>
        <w:rPr>
          <w:b w:val="0"/>
          <w:i w:val="0"/>
        </w:rPr>
        <w:t>First inventory the historical target: sections, exact prose, dynamic paragraphs, tables, charts, pivot behaviors, images and precision requirements. Give each component a stable candidate ID and identify how success would be judged. Separate factual reconstruction, content selection, wording and presentation.</w:t>
      </w:r>
    </w:p>
    <w:p>
      <w:r>
        <w:rPr>
          <w:b w:val="0"/>
          <w:i w:val="0"/>
        </w:rPr>
        <w:t xml:space="preserve">The learning controller then works backward from each important output to its supporting sources. It creates </w:t>
      </w:r>
      <w:r>
        <w:rPr>
          <w:b/>
          <w:i w:val="0"/>
        </w:rPr>
        <w:t>reconstruction cases</w:t>
      </w:r>
      <w:r>
        <w:rPr>
          <w:b w:val="0"/>
          <w:i w:val="0"/>
        </w:rPr>
        <w:t>: observed output and locator; candidate derivation; executable probe where appropriate; supporting/contradicting examples; and unresolved assumptions. An investigation can conclude “not identifiable from supplied data.” That is a useful result, not permission to fabricate an explanation.</w:t>
      </w:r>
    </w:p>
    <w:p>
      <w:r>
        <w:rPr>
          <w:b w:val="0"/>
          <w:i w:val="0"/>
        </w:rPr>
        <w:t>Start with one complete vertical slice that includes numbers, narrative and rendering. Then extend to the remaining components and cross-component consistency. Avoid first producing a huge prose specification that has never been executed.</w:t>
      </w:r>
    </w:p>
    <w:p>
      <w:pPr>
        <w:pStyle w:val="Heading3"/>
      </w:pPr>
      <w:r>
        <w:rPr>
          <w:b w:val="0"/>
          <w:i w:val="0"/>
        </w:rPr>
        <w:t>Recover presentation through templates and semantic slots</w:t>
      </w:r>
    </w:p>
    <w:p>
      <w:r>
        <w:rPr>
          <w:b w:val="0"/>
          <w:i w:val="0"/>
        </w:rPr>
        <w:t>For a precise historical document or workbook, prefer a sanitized template with semantic bindings over reconstructing every style from scratch. Extract reusable paragraph/table styles, page settings, numbering, sheet geometry, images and supported native objects. Identify dynamic regions and bind them to stable content IDs through controlled anchors such as content controls/bookmarks, named ranges or shape identifiers. Original XML paths remain evidence locators; they are not assumed to survive arbitrary later edits.</w:t>
      </w:r>
    </w:p>
    <w:p>
      <w:r>
        <w:rPr>
          <w:b w:val="0"/>
          <w:i w:val="0"/>
        </w:rPr>
        <w:t>Remove old-period text, hidden values, cached pivot/chart data and disallowed relationships from reusable templates. Test replacement with shorter and longer content and with conditional regions absent. A template is a presentation implementation, not an alternative calculation source. Its slot map must account for every required dynamic component and reject unresolved slots.</w:t>
      </w:r>
    </w:p>
    <w:p>
      <w:r>
        <w:rPr>
          <w:b w:val="0"/>
          <w:i w:val="0"/>
        </w:rPr>
        <w:t>A workbook-derived template provides a strong starting point for the grid view; it does not automatically define a good document or deck view. Generate or author those other recipes against the same semantic content, then test them independently. The application need not implement all Office layout internals: use native templates and renderer APIs behind the small view contract, with actual export previews for precision.</w:t>
      </w:r>
    </w:p>
    <w:p>
      <w:pPr>
        <w:pStyle w:val="Heading2"/>
      </w:pPr>
      <w:r>
        <w:rPr>
          <w:b w:val="0"/>
          <w:i w:val="0"/>
        </w:rPr>
        <w:t>6. Learn a reporting policy, not just a transformation</w:t>
      </w:r>
    </w:p>
    <w:p>
      <w:r>
        <w:rPr>
          <w:b w:val="0"/>
          <w:i w:val="0"/>
        </w:rPr>
        <w:t>For each component, determine which content is invariant, directly observed, computed, selected, generated, conditional, or supplied through a separate editorial input. A paragraph can contain several of these categories.</w:t>
      </w:r>
    </w:p>
    <w:p>
      <w:r>
        <w:rPr>
          <w:b w:val="0"/>
          <w:i w:val="0"/>
        </w:rPr>
        <w:t>Selection is often underdetermined. Three highlighted regions might reflect largest amounts, largest changes, threshold crossings or editorial judgment. Preserve competing hypotheses until examples distinguish them, or ask a targeted question with a concrete consequence. Research on programming by example explicitly studies using user interaction to resolve ambiguity among compatible programs. [S14]</w:t>
      </w:r>
    </w:p>
    <w:p>
      <w:r>
        <w:rPr>
          <w:b w:val="0"/>
          <w:i w:val="0"/>
        </w:rPr>
        <w:t>With one historical example, produce a useful candidate, not a fictional proof of generalization. Run structural and perturbation checks, identify material assumptions and permit a clearly labeled provisional package with explicit approval. More examples increase evidence; they do not automatically eliminate ambiguity.</w:t>
      </w:r>
    </w:p>
    <w:p>
      <w:r>
        <w:rPr>
          <w:b w:val="0"/>
          <w:i w:val="0"/>
        </w:rPr>
        <w:t>Explicit user requirements and confirmed rules take precedence over inferred conventions; conflicts are surfaced, not resolved by majority vote among examples. The simplest supported rule is a preference, not a license to ignore contradictory evidence. A management explanation may require a commentary input. A policy change may require a new version with an effective period. An erroneous historical number may require an annotated exception rather than a permanent bug in the program.</w:t>
      </w:r>
    </w:p>
    <w:p>
      <w:pPr>
        <w:pStyle w:val="Heading2"/>
      </w:pPr>
      <w:r>
        <w:rPr>
          <w:b w:val="0"/>
          <w:i w:val="0"/>
        </w:rPr>
        <w:t>7. Controller and bounded investigations</w:t>
      </w:r>
    </w:p>
    <w:p>
      <w:r>
        <w:rPr>
          <w:b w:val="0"/>
          <w:i w:val="0"/>
        </w:rPr>
        <w:t>The controller owns the current candidate, acceptance map and unresolved-issue queue. Its tools include source-catalog inspection, structured queries, bounded source previews, sandboxed code execution, reconstruction evaluation and patch submission. Tools return result summaries, diagnostics and artifact IDs.</w:t>
      </w:r>
    </w:p>
    <w:p>
      <w:r>
        <w:rPr>
          <w:b w:val="0"/>
          <w:i w:val="0"/>
        </w:rPr>
        <w:t>An investigation work order identifies the component, question, source scope, candidate version, allowed operations, expected artifact type and resource budget. A result contains observations and references, not a command to publish code. Each job has isolated scratch space. The controller integrates proposed patches serially and reruns affected tests.</w:t>
      </w:r>
    </w:p>
    <w:p>
      <w:r>
        <w:rPr>
          <w:b w:val="0"/>
          <w:i w:val="0"/>
        </w:rPr>
        <w:t>Example work order: “Determine whether the regional table excludes reversed transactions. Compare the two supplied source snapshots and show the row-selection rule that reproduces the displayed total. Do not modify the package.”</w:t>
      </w:r>
    </w:p>
    <w:p>
      <w:r>
        <w:rPr>
          <w:b w:val="0"/>
          <w:i w:val="0"/>
        </w:rPr>
        <w:t>Parallelize unrelated investigations after their inputs are bound. Keep dependent metric-definition and denominator decisions together. Require a new justification after repeated failures; do not keep asking another identically informed agent for the same guess.</w:t>
      </w:r>
    </w:p>
    <w:p>
      <w:r>
        <w:rPr>
          <w:b w:val="0"/>
          <w:i w:val="0"/>
        </w:rPr>
        <w:t>Persist a compact state summary: accepted decisions, candidate artifact IDs, important failures, next unresolved questions. Retrieve original evidence on demand. Conversation history is not the authoritative project database.</w:t>
      </w:r>
    </w:p>
    <w:p>
      <w:pPr>
        <w:pStyle w:val="Heading2"/>
      </w:pPr>
      <w:r>
        <w:rPr>
          <w:b w:val="0"/>
          <w:i w:val="0"/>
        </w:rPr>
        <w:t>8. Generalization and evaluation</w:t>
      </w:r>
    </w:p>
    <w:p>
      <w:r>
        <w:rPr>
          <w:b w:val="0"/>
          <w:i w:val="0"/>
        </w:rPr>
        <w:t>Reserve complete period/source/report pairs before the learning controller receives access when enough examples exist. The evaluator can see held-out targets; the learner cannot. The runtime gets only the permitted source inputs. Once a failure is explained to the learner, that example becomes regression evidence and is no longer an untouched holdout.</w:t>
      </w:r>
    </w:p>
    <w:p>
      <w:r>
        <w:rPr>
          <w:b w:val="0"/>
          <w:i w:val="0"/>
        </w:rPr>
        <w:t>Historical reconstruction checks displayed values using their actual rounding rules, table membership/order, conditional sections, required text and defined native behaviors. Record extraction uncertainty separately from candidate-program errors.</w:t>
      </w:r>
    </w:p>
    <w:p>
      <w:r>
        <w:rPr>
          <w:b w:val="0"/>
          <w:i w:val="0"/>
        </w:rPr>
        <w:t>Behavioral tests apply consequences of the chosen rule: shuffling irrelevant row order, adding an out-of-period record, changing the winning region, removing a required comparison, introducing ties or creating a zero denominator. These tests reveal brittle programs and internal inconsistency. They do not prove that the chosen rule was the user's intended policy.</w:t>
      </w:r>
    </w:p>
    <w:p>
      <w:r>
        <w:rPr>
          <w:b w:val="0"/>
          <w:i w:val="0"/>
        </w:rPr>
        <w:t>Evaluate presentation on structurally different cases: a short and long table, long labels, negative values, missing categories, multi-page content and a new fiscal boundary. Historical screenshots alone are insufficient for dynamic layout.</w:t>
      </w:r>
    </w:p>
    <w:p>
      <w:pPr>
        <w:pStyle w:val="Heading2"/>
      </w:pPr>
      <w:r>
        <w:rPr>
          <w:b w:val="0"/>
          <w:i w:val="0"/>
        </w:rPr>
        <w:t>9. Publication gate</w:t>
      </w:r>
    </w:p>
    <w:p>
      <w:r>
        <w:rPr>
          <w:b w:val="0"/>
          <w:i w:val="0"/>
        </w:rPr>
        <w:t>A candidate can be published only when its required inputs, output obligations, supported target capabilities, known limitations and test results are explicit. Material ambiguities must be resolved or accepted under an identified policy. Native behaviors required by the report type must pass actual target-format tests, not just schema validation.</w:t>
      </w:r>
    </w:p>
    <w:p>
      <w:r>
        <w:rPr>
          <w:b w:val="0"/>
          <w:i w:val="0"/>
        </w:rPr>
        <w:t>The package includes source adapters, computation/composition steps, a dependency manifest, locked runtime dependencies, style/view recipes, protected reference fixtures and evaluator configuration. Inspection checks that production steps do not read historical target reports or embed period-specific answer constants as calculations.</w:t>
      </w:r>
    </w:p>
    <w:p>
      <w:r>
        <w:rPr>
          <w:b w:val="0"/>
          <w:i w:val="0"/>
        </w:rPr>
        <w:t>Publish the evaluated content digest. If code, policies, templates or runtime dependencies change, create a new candidate/version and invalidate the relevant gates. A program may be certified for DOCX and PDF while its native-pivot XLSX profile remains blocked; reflect that honestly in the UI.</w:t>
      </w:r>
    </w:p>
    <w:p>
      <w:pPr>
        <w:pStyle w:val="Heading2"/>
      </w:pPr>
      <w:r>
        <w:rPr>
          <w:b w:val="0"/>
          <w:i w:val="0"/>
        </w:rPr>
        <w:t>10. Additional examples and source drift</w:t>
      </w:r>
    </w:p>
    <w:p>
      <w:r>
        <w:rPr>
          <w:b w:val="0"/>
          <w:i w:val="0"/>
        </w:rPr>
        <w:t>New examples are first indexed and compared with the existing acceptance map. Deep investigation is triggered by unexplained differences, new structures or unresolved hypotheses. Do not rebuild the entire reporting program from scratch on every upload, and do not stuff all previous examples into every context.</w:t>
      </w:r>
    </w:p>
    <w:p>
      <w:r>
        <w:rPr>
          <w:b w:val="0"/>
          <w:i w:val="0"/>
        </w:rPr>
        <w:t>During production, source-schema drift triggers a binding or adapter issue. Safe, already-declared variations can be handled by deterministic mappings. New interpretations create a candidate repair, tested against prior fixtures and the current source contract. Runtime recovery must not silently change business definitions.</w:t>
      </w:r>
    </w:p>
    <w:p>
      <w:r>
        <w:rPr>
          <w:b w:val="0"/>
          <w:i w:val="0"/>
        </w:rPr>
        <w:t>User corrections are captured with scope and evidence. Promote a correction to a future reporting rule only through an explicit program update and regression tests. One editorial exception should not accidentally redefine every later report.</w:t>
      </w:r>
    </w:p>
    <w:p>
      <w:pPr>
        <w:pStyle w:val="Heading1"/>
        <w:pageBreakBefore w:val="0"/>
        <w:spacing w:before="460"/>
      </w:pPr>
      <w:r>
        <w:rPr>
          <w:b w:val="0"/>
          <w:i w:val="0"/>
        </w:rPr>
        <w:t>04 · Production execution and export</w:t>
      </w:r>
    </w:p>
    <w:p>
      <w:pPr>
        <w:pStyle w:val="Heading2"/>
      </w:pPr>
      <w:r>
        <w:rPr>
          <w:b w:val="0"/>
          <w:i w:val="0"/>
        </w:rPr>
        <w:t>1. Freeze the run's inputs</w:t>
      </w:r>
    </w:p>
    <w:p>
      <w:r>
        <w:rPr>
          <w:b w:val="0"/>
          <w:i w:val="0"/>
        </w:rPr>
        <w:t>A generation request identifies a published report-type version, explicit source-role bindings, reporting period, comparison policy, locale, time zone and data cutoff. Use half-open time intervals where appropriate and distinguish date-only business periods from instants. Bind required history explicitly; a current-month file is not necessarily enough to produce year-to-date or prior-year comparisons.</w:t>
      </w:r>
    </w:p>
    <w:p>
      <w:r>
        <w:rPr>
          <w:b w:val="0"/>
          <w:i w:val="0"/>
        </w:rPr>
        <w:t>Record the exact source snapshot and as-of policy. A later restatement creates a new run/revision; it does not retroactively change an accepted report. Do not use the current clock, file modification time or filename to determine business periods unless the contract explicitly says so.</w:t>
      </w:r>
    </w:p>
    <w:p>
      <w:pPr>
        <w:pStyle w:val="Heading2"/>
      </w:pPr>
      <w:r>
        <w:rPr>
          <w:b w:val="0"/>
          <w:i w:val="0"/>
        </w:rPr>
        <w:t>2. Execute a declared dependency graph</w:t>
      </w:r>
    </w:p>
    <w:p>
      <w:r>
        <w:rPr>
          <w:b w:val="0"/>
          <w:i w:val="0"/>
        </w:rPr>
        <w:t>Preparation executes input validation, normalization, extraction, computation and selection. Language-model extraction is permitted as a declared step with bounded source scope, a typed output and validation. Its accepted output is frozen like other derived data. Do not hide model calls inside supposedly deterministic arbitrary Python.</w:t>
      </w:r>
    </w:p>
    <w:p>
      <w:r>
        <w:rPr>
          <w:b w:val="0"/>
          <w:i w:val="0"/>
        </w:rPr>
        <w:t xml:space="preserve">Python/SQL performs arithmetic, grouping, filtering, ranking and report-specific rules. The output is a registry of typed facts and data views plus </w:t>
      </w:r>
      <w:r>
        <w:rPr>
          <w:b/>
          <w:i w:val="0"/>
        </w:rPr>
        <w:t>component-ready evidence packets</w:t>
      </w:r>
      <w:r>
        <w:rPr>
          <w:b w:val="0"/>
          <w:i w:val="0"/>
        </w:rPr>
        <w:t>. Each packet contains its relevant facts, chosen candidates, caveats, source excerpts, required claims and writing instructions. It is not a dump of every workbook and PDF.</w:t>
      </w:r>
    </w:p>
    <w:p>
      <w:r>
        <w:rPr>
          <w:b w:val="0"/>
          <w:i w:val="0"/>
        </w:rPr>
        <w:t>Declare dependencies conservatively. During learning, track actual file/artifact reads and promote them into the program manifest. In production, deny undeclared inputs or invalidate the affected step. Cache keys based on incomplete dependencies produce incorrect reuse, not an optimization.</w:t>
      </w:r>
    </w:p>
    <w:p>
      <w:pPr>
        <w:pStyle w:val="Heading2"/>
      </w:pPr>
      <w:r>
        <w:rPr>
          <w:b w:val="0"/>
          <w:i w:val="0"/>
        </w:rPr>
        <w:t>3. Compose only what needs language generation</w:t>
      </w:r>
    </w:p>
    <w:p>
      <w:r>
        <w:rPr>
          <w:b w:val="0"/>
          <w:i w:val="0"/>
        </w:rPr>
        <w:t>Exact and computed content bypass free composition. A composing call receives the packet for one coherent component or a small related group. It returns typed rich text and evidence/claim references. It does not modify the package, invent new metrics, inspect unrelated files or write export code.</w:t>
      </w:r>
    </w:p>
    <w:p>
      <w:r>
        <w:rPr>
          <w:b w:val="0"/>
          <w:i w:val="0"/>
        </w:rPr>
        <w:t>Generate detailed sections before an executive summary that depends on them. Independent sections may run in parallel under a shared terminology/style policy. Cross-section checks reconcile repeated claims, definitions and time scopes. A longer section is not automatically divided into one agent per paragraph.</w:t>
      </w:r>
    </w:p>
    <w:p>
      <w:r>
        <w:rPr>
          <w:b w:val="0"/>
          <w:i w:val="0"/>
        </w:rPr>
        <w:t>The permitted freedom is explicit. A market overview may allow broad synthesis of an approved source bundle. A required definition or legal-style clause may require exact text. The same model can handle both without treating every paragraph as rigid slot filling.</w:t>
      </w:r>
    </w:p>
    <w:p>
      <w:r>
        <w:rPr>
          <w:b w:val="0"/>
          <w:i w:val="0"/>
        </w:rPr>
        <w:t>Numerical tokens reference validated facts or table cells. Arithmetic and ranking language is checked where formal assertions are available. Causal claims require appropriate explanatory evidence; a numerical correlation or a large contribution is not automatically a documented cause.</w:t>
      </w:r>
    </w:p>
    <w:p>
      <w:pPr>
        <w:pStyle w:val="Heading2"/>
      </w:pPr>
      <w:r>
        <w:rPr>
          <w:b w:val="0"/>
          <w:i w:val="0"/>
        </w:rPr>
        <w:t>4. Validate, repair locally, then freeze</w:t>
      </w:r>
    </w:p>
    <w:p>
      <w:r>
        <w:rPr>
          <w:b w:val="0"/>
          <w:i w:val="0"/>
        </w:rPr>
        <w:t>Run inexpensive schema, reference, arithmetic, period and coverage checks first. Apply semantic review to generated content where relevant. A failure routes to its owner: data-contract failure, computation defect, unsupported claim, missing component or layout problem. Retry only the relevant stage under a bounded policy.</w:t>
      </w:r>
    </w:p>
    <w:p>
      <w:r>
        <w:rPr>
          <w:b w:val="0"/>
          <w:i w:val="0"/>
        </w:rPr>
        <w:t>A missing dataset blocks dependent content. A narrative violation can trigger a local rewrite. A computation defect creates a candidate program repair, not a silent mutation of a published package. Exhausting the budget produces a draft-with-issues or a blocked run; never turn repeated failure into a nominal success.</w:t>
      </w:r>
    </w:p>
    <w:p>
      <w:r>
        <w:rPr>
          <w:b w:val="0"/>
          <w:i w:val="0"/>
        </w:rPr>
        <w:t>Acceptance freezes facts, selected content, prose, assets and view versions in a snapshot. Record model identifiers, prompt/template digests, extraction outputs and tool versions for audit. Reusing accepted model outputs can reproduce an accepted snapshot; asking the same model again is not a guarantee of identical prose.</w:t>
      </w:r>
    </w:p>
    <w:p>
      <w:pPr>
        <w:pStyle w:val="Heading2"/>
      </w:pPr>
      <w:r>
        <w:rPr>
          <w:b w:val="0"/>
          <w:i w:val="0"/>
        </w:rPr>
        <w:t>5. Export is compilation, not new reporting</w:t>
      </w:r>
    </w:p>
    <w:p>
      <w:r>
        <w:rPr>
          <w:b w:val="0"/>
          <w:i w:val="0"/>
        </w:rPr>
        <w:t>The export pipeline is: resolve a view and capability profile; plan representation and coverage; compile target layout; write bytes; verify structure and appearance; store the artifact and render manifest. It reads one snapshot, not the original learning workspace.</w:t>
      </w:r>
    </w:p>
    <w:p>
      <w:r>
        <w:rPr>
          <w:b w:val="0"/>
          <w:i w:val="0"/>
        </w:rPr>
        <w:t>A new format can require a new presentation recipe, not new facts. Derive a default recipe deterministically from semantic roles where practical. A more tailored deck can use an explicit view-authoring job that creates and validates a saved recipe. If it rewrites or summarizes content, that is a new content variant requiring its own acceptance; it is not an invisible rendering trick.</w:t>
      </w:r>
    </w:p>
    <w:p>
      <w:r>
        <w:rPr>
          <w:b w:val="0"/>
          <w:i w:val="0"/>
        </w:rPr>
        <w:t>Default exports preserve all content required by the selected view. A full slide export can paginate into more slides rather than silently reducing a report to highlights. An executive deck is separately named and records omitted/detail content in its coverage policy.</w:t>
      </w:r>
    </w:p>
    <w:p>
      <w:pPr>
        <w:pStyle w:val="Heading2"/>
      </w:pPr>
      <w:r>
        <w:rPr>
          <w:b w:val="0"/>
          <w:i w:val="0"/>
        </w:rPr>
        <w:t>6. Backend strategy</w:t>
      </w:r>
    </w:p>
    <w:tbl>
      <w:tblPr>
        <w:tblW w:type="auto" w:w="0"/>
        <w:jc w:val="center"/>
        <w:tblLayout w:type="fixed"/>
        <w:tblLook w:firstColumn="1" w:firstRow="1" w:lastColumn="0" w:lastRow="0" w:noHBand="0" w:noVBand="1" w:val="04A0"/>
      </w:tblPr>
      <w:tblGrid>
        <w:gridCol w:w="1958"/>
        <w:gridCol w:w="3802"/>
        <w:gridCol w:w="3787"/>
      </w:tblGrid>
      <w:tr>
        <w:trPr>
          <w:cantSplit/>
          <w:tblHeader/>
        </w:trPr>
        <w:tc>
          <w:tcPr>
            <w:tcW w:type="dxa" w:w="1958"/>
            <w:vAlign w:val="top"/>
            <w:shd w:fill="173042"/>
            <w:tcMar>
              <w:top w:w="85" w:type="dxa"/>
              <w:left w:w="85" w:type="dxa"/>
              <w:bottom w:w="85" w:type="dxa"/>
              <w:right w:w="85" w:type="dxa"/>
            </w:tcMar>
          </w:tcPr>
          <w:p>
            <w:pPr>
              <w:pStyle w:val="TableHeader"/>
            </w:pPr>
            <w:r>
              <w:rPr>
                <w:b/>
                <w:i w:val="0"/>
                <w:color w:val="FFFFFF"/>
              </w:rPr>
              <w:t>Target</w:t>
            </w:r>
          </w:p>
        </w:tc>
        <w:tc>
          <w:tcPr>
            <w:tcW w:type="dxa" w:w="3802"/>
            <w:vAlign w:val="top"/>
            <w:shd w:fill="173042"/>
            <w:tcMar>
              <w:top w:w="85" w:type="dxa"/>
              <w:left w:w="85" w:type="dxa"/>
              <w:bottom w:w="85" w:type="dxa"/>
              <w:right w:w="85" w:type="dxa"/>
            </w:tcMar>
          </w:tcPr>
          <w:p>
            <w:pPr>
              <w:pStyle w:val="TableHeader"/>
            </w:pPr>
            <w:r>
              <w:rPr>
                <w:b/>
                <w:i w:val="0"/>
                <w:color w:val="FFFFFF"/>
              </w:rPr>
              <w:t>First implementation choice</w:t>
            </w:r>
          </w:p>
        </w:tc>
        <w:tc>
          <w:tcPr>
            <w:tcW w:type="dxa" w:w="3787"/>
            <w:vAlign w:val="top"/>
            <w:shd w:fill="173042"/>
            <w:tcMar>
              <w:top w:w="85" w:type="dxa"/>
              <w:left w:w="85" w:type="dxa"/>
              <w:bottom w:w="85" w:type="dxa"/>
              <w:right w:w="85" w:type="dxa"/>
            </w:tcMar>
          </w:tcPr>
          <w:p>
            <w:pPr>
              <w:pStyle w:val="TableHeader"/>
            </w:pPr>
            <w:r>
              <w:rPr>
                <w:b/>
                <w:i w:val="0"/>
                <w:color w:val="FFFFFF"/>
              </w:rPr>
              <w:t>Important boundary</w:t>
            </w:r>
          </w:p>
        </w:tc>
      </w:tr>
      <w:tr>
        <w:trPr>
          <w:cantSplit/>
        </w:trPr>
        <w:tc>
          <w:tcPr>
            <w:tcW w:type="dxa" w:w="1958"/>
            <w:vAlign w:val="top"/>
            <w:shd w:fill="F0F5F7"/>
            <w:tcMar>
              <w:top w:w="85" w:type="dxa"/>
              <w:left w:w="85" w:type="dxa"/>
              <w:bottom w:w="85" w:type="dxa"/>
              <w:right w:w="85" w:type="dxa"/>
            </w:tcMar>
          </w:tcPr>
          <w:p>
            <w:pPr>
              <w:pStyle w:val="TableText"/>
            </w:pPr>
            <w:r>
              <w:rPr>
                <w:b w:val="0"/>
                <w:i w:val="0"/>
              </w:rPr>
              <w:t>Native app</w:t>
            </w:r>
          </w:p>
        </w:tc>
        <w:tc>
          <w:tcPr>
            <w:tcW w:type="dxa" w:w="3802"/>
            <w:vAlign w:val="top"/>
            <w:shd w:fill="F0F5F7"/>
            <w:tcMar>
              <w:top w:w="85" w:type="dxa"/>
              <w:left w:w="85" w:type="dxa"/>
              <w:bottom w:w="85" w:type="dxa"/>
              <w:right w:w="85" w:type="dxa"/>
            </w:tcMar>
          </w:tcPr>
          <w:p>
            <w:pPr>
              <w:pStyle w:val="TableText"/>
            </w:pPr>
            <w:r>
              <w:rPr>
                <w:b w:val="0"/>
                <w:i w:val="0"/>
              </w:rPr>
              <w:t>React block/section interface; virtualized tables; separate flow/grid/canvas views.</w:t>
            </w:r>
          </w:p>
        </w:tc>
        <w:tc>
          <w:tcPr>
            <w:tcW w:type="dxa" w:w="3787"/>
            <w:vAlign w:val="top"/>
            <w:shd w:fill="F0F5F7"/>
            <w:tcMar>
              <w:top w:w="85" w:type="dxa"/>
              <w:left w:w="85" w:type="dxa"/>
              <w:bottom w:w="85" w:type="dxa"/>
              <w:right w:w="85" w:type="dxa"/>
            </w:tcMar>
          </w:tcPr>
          <w:p>
            <w:pPr>
              <w:pStyle w:val="TableText"/>
            </w:pPr>
            <w:r>
              <w:rPr>
                <w:b w:val="0"/>
                <w:i w:val="0"/>
              </w:rPr>
              <w:t>Browser display is the working UI, not an Office-accuracy guarantee.</w:t>
            </w:r>
          </w:p>
        </w:tc>
      </w:tr>
      <w:tr>
        <w:trPr>
          <w:cantSplit/>
        </w:trPr>
        <w:tc>
          <w:tcPr>
            <w:tcW w:type="dxa" w:w="1958"/>
            <w:vAlign w:val="top"/>
            <w:shd w:fill="FFFFFF"/>
            <w:tcMar>
              <w:top w:w="85" w:type="dxa"/>
              <w:left w:w="85" w:type="dxa"/>
              <w:bottom w:w="85" w:type="dxa"/>
              <w:right w:w="85" w:type="dxa"/>
            </w:tcMar>
          </w:tcPr>
          <w:p>
            <w:pPr>
              <w:pStyle w:val="TableText"/>
            </w:pPr>
            <w:r>
              <w:rPr>
                <w:b w:val="0"/>
                <w:i w:val="0"/>
              </w:rPr>
              <w:t>DOCX</w:t>
            </w:r>
          </w:p>
        </w:tc>
        <w:tc>
          <w:tcPr>
            <w:tcW w:type="dxa" w:w="3802"/>
            <w:vAlign w:val="top"/>
            <w:shd w:fill="FFFFFF"/>
            <w:tcMar>
              <w:top w:w="85" w:type="dxa"/>
              <w:left w:w="85" w:type="dxa"/>
              <w:bottom w:w="85" w:type="dxa"/>
              <w:right w:w="85" w:type="dxa"/>
            </w:tcMar>
          </w:tcPr>
          <w:p>
            <w:pPr>
              <w:pStyle w:val="TableText"/>
            </w:pPr>
            <w:r>
              <w:rPr>
                <w:b w:val="0"/>
                <w:i w:val="0"/>
              </w:rPr>
              <w:t>Template/style-aware python-docx renderer with tested OOXML helpers for required advanced features.</w:t>
            </w:r>
          </w:p>
        </w:tc>
        <w:tc>
          <w:tcPr>
            <w:tcW w:type="dxa" w:w="3787"/>
            <w:vAlign w:val="top"/>
            <w:shd w:fill="FFFFFF"/>
            <w:tcMar>
              <w:top w:w="85" w:type="dxa"/>
              <w:left w:w="85" w:type="dxa"/>
              <w:bottom w:w="85" w:type="dxa"/>
              <w:right w:w="85" w:type="dxa"/>
            </w:tcMar>
          </w:tcPr>
          <w:p>
            <w:pPr>
              <w:pStyle w:val="TableText"/>
            </w:pPr>
            <w:r>
              <w:rPr>
                <w:b w:val="0"/>
                <w:i w:val="0"/>
              </w:rPr>
              <w:t>Exact structure/style support is certified feature by feature.</w:t>
            </w:r>
          </w:p>
        </w:tc>
      </w:tr>
      <w:tr>
        <w:trPr>
          <w:cantSplit/>
        </w:trPr>
        <w:tc>
          <w:tcPr>
            <w:tcW w:type="dxa" w:w="1958"/>
            <w:vAlign w:val="top"/>
            <w:shd w:fill="F0F5F7"/>
            <w:tcMar>
              <w:top w:w="85" w:type="dxa"/>
              <w:left w:w="85" w:type="dxa"/>
              <w:bottom w:w="85" w:type="dxa"/>
              <w:right w:w="85" w:type="dxa"/>
            </w:tcMar>
          </w:tcPr>
          <w:p>
            <w:pPr>
              <w:pStyle w:val="TableText"/>
            </w:pPr>
            <w:r>
              <w:rPr>
                <w:b w:val="0"/>
                <w:i w:val="0"/>
              </w:rPr>
              <w:t>XLSX</w:t>
            </w:r>
          </w:p>
        </w:tc>
        <w:tc>
          <w:tcPr>
            <w:tcW w:type="dxa" w:w="3802"/>
            <w:vAlign w:val="top"/>
            <w:shd w:fill="F0F5F7"/>
            <w:tcMar>
              <w:top w:w="85" w:type="dxa"/>
              <w:left w:w="85" w:type="dxa"/>
              <w:bottom w:w="85" w:type="dxa"/>
              <w:right w:w="85" w:type="dxa"/>
            </w:tcMar>
          </w:tcPr>
          <w:p>
            <w:pPr>
              <w:pStyle w:val="TableText"/>
            </w:pPr>
            <w:r>
              <w:rPr>
                <w:b w:val="0"/>
                <w:i w:val="0"/>
              </w:rPr>
              <w:t>XlsxWriter for new workbook construction; a narrow native-pivot adapter where required.</w:t>
            </w:r>
          </w:p>
        </w:tc>
        <w:tc>
          <w:tcPr>
            <w:tcW w:type="dxa" w:w="3787"/>
            <w:vAlign w:val="top"/>
            <w:shd w:fill="F0F5F7"/>
            <w:tcMar>
              <w:top w:w="85" w:type="dxa"/>
              <w:left w:w="85" w:type="dxa"/>
              <w:bottom w:w="85" w:type="dxa"/>
              <w:right w:w="85" w:type="dxa"/>
            </w:tcMar>
          </w:tcPr>
          <w:p>
            <w:pPr>
              <w:pStyle w:val="TableText"/>
            </w:pPr>
            <w:r>
              <w:rPr>
                <w:b w:val="0"/>
                <w:i w:val="0"/>
              </w:rPr>
              <w:t>No assumption that a workbook writer evaluates formulas or creates all pivot variants.</w:t>
            </w:r>
          </w:p>
        </w:tc>
      </w:tr>
      <w:tr>
        <w:trPr>
          <w:cantSplit/>
        </w:trPr>
        <w:tc>
          <w:tcPr>
            <w:tcW w:type="dxa" w:w="1958"/>
            <w:vAlign w:val="top"/>
            <w:shd w:fill="FFFFFF"/>
            <w:tcMar>
              <w:top w:w="85" w:type="dxa"/>
              <w:left w:w="85" w:type="dxa"/>
              <w:bottom w:w="85" w:type="dxa"/>
              <w:right w:w="85" w:type="dxa"/>
            </w:tcMar>
          </w:tcPr>
          <w:p>
            <w:pPr>
              <w:pStyle w:val="TableText"/>
            </w:pPr>
            <w:r>
              <w:rPr>
                <w:b w:val="0"/>
                <w:i w:val="0"/>
              </w:rPr>
              <w:t>PDF</w:t>
            </w:r>
          </w:p>
        </w:tc>
        <w:tc>
          <w:tcPr>
            <w:tcW w:type="dxa" w:w="3802"/>
            <w:vAlign w:val="top"/>
            <w:shd w:fill="FFFFFF"/>
            <w:tcMar>
              <w:top w:w="85" w:type="dxa"/>
              <w:left w:w="85" w:type="dxa"/>
              <w:bottom w:w="85" w:type="dxa"/>
              <w:right w:w="85" w:type="dxa"/>
            </w:tcMar>
          </w:tcPr>
          <w:p>
            <w:pPr>
              <w:pStyle w:val="TableText"/>
            </w:pPr>
            <w:r>
              <w:rPr>
                <w:b w:val="0"/>
                <w:i w:val="0"/>
              </w:rPr>
              <w:t>Pinned HTML/CSS-to-PDF backend for native flow/canvas views; explicit Office-to-PDF path when matching a specific Office artifact is required.</w:t>
            </w:r>
          </w:p>
        </w:tc>
        <w:tc>
          <w:tcPr>
            <w:tcW w:type="dxa" w:w="3787"/>
            <w:vAlign w:val="top"/>
            <w:shd w:fill="FFFFFF"/>
            <w:tcMar>
              <w:top w:w="85" w:type="dxa"/>
              <w:left w:w="85" w:type="dxa"/>
              <w:bottom w:w="85" w:type="dxa"/>
              <w:right w:w="85" w:type="dxa"/>
            </w:tcMar>
          </w:tcPr>
          <w:p>
            <w:pPr>
              <w:pStyle w:val="TableText"/>
            </w:pPr>
            <w:r>
              <w:rPr>
                <w:b w:val="0"/>
                <w:i w:val="0"/>
              </w:rPr>
              <w:t>Different PDF routes have different layout contracts; never label them identical.</w:t>
            </w:r>
          </w:p>
        </w:tc>
      </w:tr>
      <w:tr>
        <w:trPr>
          <w:cantSplit/>
        </w:trPr>
        <w:tc>
          <w:tcPr>
            <w:tcW w:type="dxa" w:w="1958"/>
            <w:vAlign w:val="top"/>
            <w:shd w:fill="F0F5F7"/>
            <w:tcMar>
              <w:top w:w="85" w:type="dxa"/>
              <w:left w:w="85" w:type="dxa"/>
              <w:bottom w:w="85" w:type="dxa"/>
              <w:right w:w="85" w:type="dxa"/>
            </w:tcMar>
          </w:tcPr>
          <w:p>
            <w:pPr>
              <w:pStyle w:val="TableText"/>
            </w:pPr>
            <w:r>
              <w:rPr>
                <w:b w:val="0"/>
                <w:i w:val="0"/>
              </w:rPr>
              <w:t>PPTX</w:t>
            </w:r>
          </w:p>
        </w:tc>
        <w:tc>
          <w:tcPr>
            <w:tcW w:type="dxa" w:w="3802"/>
            <w:vAlign w:val="top"/>
            <w:shd w:fill="F0F5F7"/>
            <w:tcMar>
              <w:top w:w="85" w:type="dxa"/>
              <w:left w:w="85" w:type="dxa"/>
              <w:bottom w:w="85" w:type="dxa"/>
              <w:right w:w="85" w:type="dxa"/>
            </w:tcMar>
          </w:tcPr>
          <w:p>
            <w:pPr>
              <w:pStyle w:val="TableText"/>
            </w:pPr>
            <w:r>
              <w:rPr>
                <w:b w:val="0"/>
                <w:i w:val="0"/>
              </w:rPr>
              <w:t>Template-aware python-pptx renderer with measured text and bounded layout recipes.</w:t>
            </w:r>
          </w:p>
        </w:tc>
        <w:tc>
          <w:tcPr>
            <w:tcW w:type="dxa" w:w="3787"/>
            <w:vAlign w:val="top"/>
            <w:shd w:fill="F0F5F7"/>
            <w:tcMar>
              <w:top w:w="85" w:type="dxa"/>
              <w:left w:w="85" w:type="dxa"/>
              <w:bottom w:w="85" w:type="dxa"/>
              <w:right w:w="85" w:type="dxa"/>
            </w:tcMar>
          </w:tcPr>
          <w:p>
            <w:pPr>
              <w:pStyle w:val="TableText"/>
            </w:pPr>
            <w:r>
              <w:rPr>
                <w:b w:val="0"/>
                <w:i w:val="0"/>
              </w:rPr>
              <w:t>Native chart types are mapped only when supported; visual fallbacks are explicit.</w:t>
            </w:r>
          </w:p>
        </w:tc>
      </w:tr>
    </w:tbl>
    <w:p>
      <w:pPr>
        <w:spacing w:after="60" w:before="0" w:line="40" w:lineRule="exact"/>
      </w:pPr>
      <w:r>
        <w:rPr>
          <w:sz w:val="4"/>
        </w:rPr>
      </w:r>
    </w:p>
    <w:p>
      <w:r>
        <w:rPr>
          <w:b w:val="0"/>
          <w:i w:val="0"/>
        </w:rPr>
        <w:t>These choices are implementation candidates, not a benchmark result. Spike the difficult fixtures before committing to the complete rendering stack. python-pptx documents native chart creation, and Playwright documents PDF generation through print CSS; neither statement establishes universal fidelity for this application. [S10, S11]</w:t>
      </w:r>
    </w:p>
    <w:p>
      <w:r>
        <w:rPr>
          <w:b w:val="0"/>
          <w:i w:val="0"/>
        </w:rPr>
        <w:t>A renderer interface should accept a frozen snapshot reference, view version and fidelity policy, and return artifact references, coverage mapping, validation results and downgrade decisions. Additional formats implement this interface and declare capabilities rather than requiring new agents.</w:t>
      </w:r>
    </w:p>
    <w:p>
      <w:pPr>
        <w:pStyle w:val="Heading2"/>
      </w:pPr>
      <w:r>
        <w:rPr>
          <w:b w:val="0"/>
          <w:i w:val="0"/>
        </w:rPr>
        <w:t>7. XLSX is not just another page renderer</w:t>
      </w:r>
    </w:p>
    <w:p>
      <w:r>
        <w:rPr>
          <w:b w:val="0"/>
          <w:i w:val="0"/>
        </w:rPr>
        <w:t>A workbook view maps prose, tables, plots and images into placed regions across sheets. Determine row heights, column widths, merged title areas, table extents, print settings and object anchors through the view compiler. Dynamic regions are allocated in dependency order; overlapping allocations are detected before writing.</w:t>
      </w:r>
    </w:p>
    <w:p>
      <w:r>
        <w:rPr>
          <w:b w:val="0"/>
          <w:i w:val="0"/>
        </w:rPr>
        <w:t>Keep a distinction between published values and optional interactive workbook behavior. By default, a report workbook presents materialized values matching the accepted snapshot. Formula-bearing cells are emitted only from a supported expression representation and carry verified cached values. Test their recalculation against the authoritative computation on representative inputs. Do not attempt to translate arbitrary data-engineering Python into Excel formulas.</w:t>
      </w:r>
    </w:p>
    <w:p>
      <w:r>
        <w:rPr>
          <w:b w:val="0"/>
          <w:i w:val="0"/>
        </w:rPr>
        <w:t>An end user editing the exported workbook is creating a downstream derivative. The original application report remains unchanged. Reimport is an explicit operation with validation, not an assumed round trip. Formula recalculation in that derivative may change values without updating narrative; make that interaction boundary visible.</w:t>
      </w:r>
    </w:p>
    <w:p>
      <w:pPr>
        <w:pStyle w:val="Heading3"/>
      </w:pPr>
      <w:r>
        <w:rPr>
          <w:b w:val="0"/>
          <w:i w:val="0"/>
        </w:rPr>
        <w:t>Native pivot policy</w:t>
      </w:r>
    </w:p>
    <w:p>
      <w:r>
        <w:rPr>
          <w:b w:val="0"/>
          <w:i w:val="0"/>
        </w:rPr>
        <w:t>Implement flat-tabular-source pivots as an explicit capability: source range, dimensions, measures, filters, cache definition/records, visible cell results and refresh behavior. Test initial opening and pivot interaction in the declared spreadsheet application. Rebuild period data and caches; do not rely on stale caches copied from a historical template.</w:t>
      </w:r>
    </w:p>
    <w:p>
      <w:r>
        <w:rPr>
          <w:b w:val="0"/>
          <w:i w:val="0"/>
        </w:rPr>
        <w:t>openpyxl's documentation describes preserving and manipulating existing pivots, not a general client API for creating them. I would therefore not make “use openpyxl” the native-pivot architecture. For the first supported pivot subset, build or procure a focused SpreadsheetML adapter and certify it early. [S05]</w:t>
      </w:r>
    </w:p>
    <w:p>
      <w:r>
        <w:rPr>
          <w:b w:val="0"/>
          <w:i w:val="0"/>
        </w:rPr>
        <w:t>Advanced calculated fields, slicers, data-model/OLAP pivots, external connections and macros are separate capabilities. A backend that supports a simple pivot does not thereby support all of them. The adapter may be implemented as a small isolated helper; it is not necessary to redesign the whole application around a second platform.</w:t>
      </w:r>
    </w:p>
    <w:p>
      <w:pPr>
        <w:pStyle w:val="Heading3"/>
      </w:pPr>
      <w:r>
        <w:rPr>
          <w:b w:val="0"/>
          <w:i w:val="0"/>
        </w:rPr>
        <w:t>Embedded-data safety</w:t>
      </w:r>
    </w:p>
    <w:p>
      <w:r>
        <w:rPr>
          <w:b w:val="0"/>
          <w:i w:val="0"/>
        </w:rPr>
        <w:t>The source of an editable chart or pivot may be embedded in the output. That source must be an approved export dataset, not automatically the original raw file. Check pivot caches, hidden sheets, embedded workbooks, custom XML, notes and attachments for confidential or historical residual content. A visible-filter setting is not a data-redaction boundary.</w:t>
      </w:r>
    </w:p>
    <w:p>
      <w:pPr>
        <w:pStyle w:val="Heading2"/>
      </w:pPr>
      <w:r>
        <w:rPr>
          <w:b w:val="0"/>
          <w:i w:val="0"/>
        </w:rPr>
        <w:t>8. DOCX precision and PDF contracts</w:t>
      </w:r>
    </w:p>
    <w:p>
      <w:r>
        <w:rPr>
          <w:b w:val="0"/>
          <w:i w:val="0"/>
        </w:rPr>
        <w:t>Use named paragraph and character styles, explicit numbering/list rules, tab stops, section settings and table policies. Preserve the distinction between inherited formatting and explicit overrides. Floating pictures, complex headers/footers and advanced numbering require dedicated fixtures rather than an assertion that all Word files are covered.</w:t>
      </w:r>
    </w:p>
    <w:p>
      <w:r>
        <w:rPr>
          <w:b w:val="0"/>
          <w:i w:val="0"/>
        </w:rPr>
        <w:t>A flow recipe can specify keep-with-next, row-splitting policy, repeated headers, orientation changes and controlled page breaks. These constraints guide pagination; the selected renderer and font environment determine the final result. CSS has defined fragmentation rules, but using those rules does not make browser pagination equivalent to Word pagination. [S12]</w:t>
      </w:r>
    </w:p>
    <w:p>
      <w:r>
        <w:rPr>
          <w:b w:val="0"/>
          <w:i w:val="0"/>
        </w:rPr>
        <w:t>Offer separate PDF purposes. A native-report PDF follows the native flow or canvas view. A PDF of a particular DOCX/PPTX/XLSX artifact uses its tested rendering path and records that origin. Exact match to a designated Office engine requires that engine or an explicitly certified compatible path; do not hide this requirement behind a generic “convert” call.</w:t>
      </w:r>
    </w:p>
    <w:p>
      <w:r>
        <w:rPr>
          <w:b w:val="0"/>
          <w:i w:val="0"/>
        </w:rPr>
        <w:t>Pin render-engine versions and available fonts in production. Store font identifiers and permitted usage metadata; obtain deployment/embedding rights as required. Missing fonts should be a detectable substitution, not an unexplained layout drift. A precision-preview thumbnail is generated from the actual rendered export.</w:t>
      </w:r>
    </w:p>
    <w:p>
      <w:pPr>
        <w:pStyle w:val="Heading2"/>
      </w:pPr>
      <w:r>
        <w:rPr>
          <w:b w:val="0"/>
          <w:i w:val="0"/>
        </w:rPr>
        <w:t>9. PPTX needs a presentation recipe</w:t>
      </w:r>
    </w:p>
    <w:p>
      <w:r>
        <w:rPr>
          <w:b w:val="0"/>
          <w:i w:val="0"/>
        </w:rPr>
        <w:t>A deck view defines slide families, stable content order, frames, minimum readable font sizes and overflow behavior. A table can continue across slides with repeated headers; a region card can repeat as a new slide. Preserve labels, units and context. Do not shrink arbitrarily until everything fits.</w:t>
      </w:r>
    </w:p>
    <w:p>
      <w:r>
        <w:rPr>
          <w:b w:val="0"/>
          <w:i w:val="0"/>
        </w:rPr>
        <w:t>Native charts use the same accepted data and semantic chart specification as other views. Unsupported combinations fall back to an approved visual representation, with editability loss in the manifest. Accessibility order, speaker notes and content coverage are checked separately from visual bounds.</w:t>
      </w:r>
    </w:p>
    <w:p>
      <w:r>
        <w:rPr>
          <w:b w:val="0"/>
          <w:i w:val="0"/>
        </w:rPr>
        <w:t>A content-complete deck may be long. A short executive deck changes the editorial scope and must be explicitly authored or generated as a separate accepted variant. Export-time length pressure must not invent a new reporting policy.</w:t>
      </w:r>
    </w:p>
    <w:p>
      <w:pPr>
        <w:pStyle w:val="Heading2"/>
      </w:pPr>
      <w:r>
        <w:rPr>
          <w:b w:val="0"/>
          <w:i w:val="0"/>
        </w:rPr>
        <w:t>10. Fidelity manifest and deterministic defaults</w:t>
      </w:r>
    </w:p>
    <w:p>
      <w:r>
        <w:rPr>
          <w:b w:val="0"/>
          <w:i w:val="0"/>
        </w:rPr>
        <w:t>Every relevant component receives a mapped output location and representation decision. A downgrade record includes the requested capability, delivered representation, consequence, severity and approval status. “Static pivot in PDF” can be an approved view policy; “missing required pivot in XLSX” is a blocker.</w:t>
      </w:r>
    </w:p>
    <w:p>
      <w:r>
        <w:rPr>
          <w:b w:val="0"/>
          <w:i w:val="0"/>
        </w:rPr>
        <w:t>Freeze renderer versions and assets for repeatability. Separate semantic reproducibility from binary identity: document ZIP metadata, timestamps or rendering internals may change bytes even when content is equivalent. Cache exact accepted export bytes for later downloads, and use normalized semantic/structural comparison when byte identity is not the required contract.</w:t>
      </w:r>
    </w:p>
    <w:p>
      <w:pPr>
        <w:pStyle w:val="Heading1"/>
        <w:pageBreakBefore w:val="0"/>
        <w:spacing w:before="460"/>
      </w:pPr>
      <w:r>
        <w:rPr>
          <w:b w:val="0"/>
          <w:i w:val="0"/>
        </w:rPr>
        <w:t>05 · Engineering, validation and delivery</w:t>
      </w:r>
    </w:p>
    <w:p>
      <w:pPr>
        <w:pStyle w:val="Heading2"/>
      </w:pPr>
      <w:r>
        <w:rPr>
          <w:b w:val="0"/>
          <w:i w:val="0"/>
        </w:rPr>
        <w:t>1. Validation is a set of independent gates</w:t>
      </w:r>
    </w:p>
    <w:tbl>
      <w:tblPr>
        <w:tblW w:type="auto" w:w="0"/>
        <w:jc w:val="center"/>
        <w:tblLayout w:type="fixed"/>
        <w:tblLook w:firstColumn="1" w:firstRow="1" w:lastColumn="0" w:lastRow="0" w:noHBand="0" w:noVBand="1" w:val="04A0"/>
      </w:tblPr>
      <w:tblGrid>
        <w:gridCol w:w="1958"/>
        <w:gridCol w:w="3802"/>
        <w:gridCol w:w="3787"/>
      </w:tblGrid>
      <w:tr>
        <w:trPr>
          <w:cantSplit/>
          <w:tblHeader/>
        </w:trPr>
        <w:tc>
          <w:tcPr>
            <w:tcW w:type="dxa" w:w="1958"/>
            <w:vAlign w:val="top"/>
            <w:shd w:fill="173042"/>
            <w:tcMar>
              <w:top w:w="85" w:type="dxa"/>
              <w:left w:w="85" w:type="dxa"/>
              <w:bottom w:w="85" w:type="dxa"/>
              <w:right w:w="85" w:type="dxa"/>
            </w:tcMar>
          </w:tcPr>
          <w:p>
            <w:pPr>
              <w:pStyle w:val="TableHeader"/>
            </w:pPr>
            <w:r>
              <w:rPr>
                <w:b/>
                <w:i w:val="0"/>
                <w:color w:val="FFFFFF"/>
              </w:rPr>
              <w:t>Gate</w:t>
            </w:r>
          </w:p>
        </w:tc>
        <w:tc>
          <w:tcPr>
            <w:tcW w:type="dxa" w:w="3802"/>
            <w:vAlign w:val="top"/>
            <w:shd w:fill="173042"/>
            <w:tcMar>
              <w:top w:w="85" w:type="dxa"/>
              <w:left w:w="85" w:type="dxa"/>
              <w:bottom w:w="85" w:type="dxa"/>
              <w:right w:w="85" w:type="dxa"/>
            </w:tcMar>
          </w:tcPr>
          <w:p>
            <w:pPr>
              <w:pStyle w:val="TableHeader"/>
            </w:pPr>
            <w:r>
              <w:rPr>
                <w:b/>
                <w:i w:val="0"/>
                <w:color w:val="FFFFFF"/>
              </w:rPr>
              <w:t>What it checks</w:t>
            </w:r>
          </w:p>
        </w:tc>
        <w:tc>
          <w:tcPr>
            <w:tcW w:type="dxa" w:w="3787"/>
            <w:vAlign w:val="top"/>
            <w:shd w:fill="173042"/>
            <w:tcMar>
              <w:top w:w="85" w:type="dxa"/>
              <w:left w:w="85" w:type="dxa"/>
              <w:bottom w:w="85" w:type="dxa"/>
              <w:right w:w="85" w:type="dxa"/>
            </w:tcMar>
          </w:tcPr>
          <w:p>
            <w:pPr>
              <w:pStyle w:val="TableHeader"/>
            </w:pPr>
            <w:r>
              <w:rPr>
                <w:b/>
                <w:i w:val="0"/>
                <w:color w:val="FFFFFF"/>
              </w:rPr>
              <w:t>Failure action</w:t>
            </w:r>
          </w:p>
        </w:tc>
      </w:tr>
      <w:tr>
        <w:trPr>
          <w:cantSplit/>
        </w:trPr>
        <w:tc>
          <w:tcPr>
            <w:tcW w:type="dxa" w:w="1958"/>
            <w:vAlign w:val="top"/>
            <w:shd w:fill="F0F5F7"/>
            <w:tcMar>
              <w:top w:w="85" w:type="dxa"/>
              <w:left w:w="85" w:type="dxa"/>
              <w:bottom w:w="85" w:type="dxa"/>
              <w:right w:w="85" w:type="dxa"/>
            </w:tcMar>
          </w:tcPr>
          <w:p>
            <w:pPr>
              <w:pStyle w:val="TableText"/>
            </w:pPr>
            <w:r>
              <w:rPr>
                <w:b w:val="0"/>
                <w:i w:val="0"/>
              </w:rPr>
              <w:t>Acquisition</w:t>
            </w:r>
          </w:p>
        </w:tc>
        <w:tc>
          <w:tcPr>
            <w:tcW w:type="dxa" w:w="3802"/>
            <w:vAlign w:val="top"/>
            <w:shd w:fill="F0F5F7"/>
            <w:tcMar>
              <w:top w:w="85" w:type="dxa"/>
              <w:left w:w="85" w:type="dxa"/>
              <w:bottom w:w="85" w:type="dxa"/>
              <w:right w:w="85" w:type="dxa"/>
            </w:tcMar>
          </w:tcPr>
          <w:p>
            <w:pPr>
              <w:pStyle w:val="TableText"/>
            </w:pPr>
            <w:r>
              <w:rPr>
                <w:b w:val="0"/>
                <w:i w:val="0"/>
              </w:rPr>
              <w:t>File safety, readable format, extraction coverage and unavailable structure.</w:t>
            </w:r>
          </w:p>
        </w:tc>
        <w:tc>
          <w:tcPr>
            <w:tcW w:type="dxa" w:w="3787"/>
            <w:vAlign w:val="top"/>
            <w:shd w:fill="F0F5F7"/>
            <w:tcMar>
              <w:top w:w="85" w:type="dxa"/>
              <w:left w:w="85" w:type="dxa"/>
              <w:bottom w:w="85" w:type="dxa"/>
              <w:right w:w="85" w:type="dxa"/>
            </w:tcMar>
          </w:tcPr>
          <w:p>
            <w:pPr>
              <w:pStyle w:val="TableText"/>
            </w:pPr>
            <w:r>
              <w:rPr>
                <w:b w:val="0"/>
                <w:i w:val="0"/>
              </w:rPr>
              <w:t>Quarantine, alternate parser or explicit unsupported-input issue.</w:t>
            </w:r>
          </w:p>
        </w:tc>
      </w:tr>
      <w:tr>
        <w:trPr>
          <w:cantSplit/>
        </w:trPr>
        <w:tc>
          <w:tcPr>
            <w:tcW w:type="dxa" w:w="1958"/>
            <w:vAlign w:val="top"/>
            <w:shd w:fill="FFFFFF"/>
            <w:tcMar>
              <w:top w:w="85" w:type="dxa"/>
              <w:left w:w="85" w:type="dxa"/>
              <w:bottom w:w="85" w:type="dxa"/>
              <w:right w:w="85" w:type="dxa"/>
            </w:tcMar>
          </w:tcPr>
          <w:p>
            <w:pPr>
              <w:pStyle w:val="TableText"/>
            </w:pPr>
            <w:r>
              <w:rPr>
                <w:b w:val="0"/>
                <w:i w:val="0"/>
              </w:rPr>
              <w:t>Source binding</w:t>
            </w:r>
          </w:p>
        </w:tc>
        <w:tc>
          <w:tcPr>
            <w:tcW w:type="dxa" w:w="3802"/>
            <w:vAlign w:val="top"/>
            <w:shd w:fill="FFFFFF"/>
            <w:tcMar>
              <w:top w:w="85" w:type="dxa"/>
              <w:left w:w="85" w:type="dxa"/>
              <w:bottom w:w="85" w:type="dxa"/>
              <w:right w:w="85" w:type="dxa"/>
            </w:tcMar>
          </w:tcPr>
          <w:p>
            <w:pPr>
              <w:pStyle w:val="TableText"/>
            </w:pPr>
            <w:r>
              <w:rPr>
                <w:b w:val="0"/>
                <w:i w:val="0"/>
              </w:rPr>
              <w:t>Role identity, period coverage, required fields, units and data quality.</w:t>
            </w:r>
          </w:p>
        </w:tc>
        <w:tc>
          <w:tcPr>
            <w:tcW w:type="dxa" w:w="3787"/>
            <w:vAlign w:val="top"/>
            <w:shd w:fill="FFFFFF"/>
            <w:tcMar>
              <w:top w:w="85" w:type="dxa"/>
              <w:left w:w="85" w:type="dxa"/>
              <w:bottom w:w="85" w:type="dxa"/>
              <w:right w:w="85" w:type="dxa"/>
            </w:tcMar>
          </w:tcPr>
          <w:p>
            <w:pPr>
              <w:pStyle w:val="TableText"/>
            </w:pPr>
            <w:r>
              <w:rPr>
                <w:b w:val="0"/>
                <w:i w:val="0"/>
              </w:rPr>
              <w:t>Block affected preparation; request a source or approved binding repair.</w:t>
            </w:r>
          </w:p>
        </w:tc>
      </w:tr>
      <w:tr>
        <w:trPr>
          <w:cantSplit/>
        </w:trPr>
        <w:tc>
          <w:tcPr>
            <w:tcW w:type="dxa" w:w="1958"/>
            <w:vAlign w:val="top"/>
            <w:shd w:fill="F0F5F7"/>
            <w:tcMar>
              <w:top w:w="85" w:type="dxa"/>
              <w:left w:w="85" w:type="dxa"/>
              <w:bottom w:w="85" w:type="dxa"/>
              <w:right w:w="85" w:type="dxa"/>
            </w:tcMar>
          </w:tcPr>
          <w:p>
            <w:pPr>
              <w:pStyle w:val="TableText"/>
            </w:pPr>
            <w:r>
              <w:rPr>
                <w:b w:val="0"/>
                <w:i w:val="0"/>
              </w:rPr>
              <w:t>Computation</w:t>
            </w:r>
          </w:p>
        </w:tc>
        <w:tc>
          <w:tcPr>
            <w:tcW w:type="dxa" w:w="3802"/>
            <w:vAlign w:val="top"/>
            <w:shd w:fill="F0F5F7"/>
            <w:tcMar>
              <w:top w:w="85" w:type="dxa"/>
              <w:left w:w="85" w:type="dxa"/>
              <w:bottom w:w="85" w:type="dxa"/>
              <w:right w:w="85" w:type="dxa"/>
            </w:tcMar>
          </w:tcPr>
          <w:p>
            <w:pPr>
              <w:pStyle w:val="TableText"/>
            </w:pPr>
            <w:r>
              <w:rPr>
                <w:b w:val="0"/>
                <w:i w:val="0"/>
              </w:rPr>
              <w:t>Arithmetic, reconciliations, filtering, joins, comparisons and invariants.</w:t>
            </w:r>
          </w:p>
        </w:tc>
        <w:tc>
          <w:tcPr>
            <w:tcW w:type="dxa" w:w="3787"/>
            <w:vAlign w:val="top"/>
            <w:shd w:fill="F0F5F7"/>
            <w:tcMar>
              <w:top w:w="85" w:type="dxa"/>
              <w:left w:w="85" w:type="dxa"/>
              <w:bottom w:w="85" w:type="dxa"/>
              <w:right w:w="85" w:type="dxa"/>
            </w:tcMar>
          </w:tcPr>
          <w:p>
            <w:pPr>
              <w:pStyle w:val="TableText"/>
            </w:pPr>
            <w:r>
              <w:rPr>
                <w:b w:val="0"/>
                <w:i w:val="0"/>
              </w:rPr>
              <w:t>Fail the step; open a candidate-program defect when necessary.</w:t>
            </w:r>
          </w:p>
        </w:tc>
      </w:tr>
      <w:tr>
        <w:trPr>
          <w:cantSplit/>
        </w:trPr>
        <w:tc>
          <w:tcPr>
            <w:tcW w:type="dxa" w:w="1958"/>
            <w:vAlign w:val="top"/>
            <w:shd w:fill="FFFFFF"/>
            <w:tcMar>
              <w:top w:w="85" w:type="dxa"/>
              <w:left w:w="85" w:type="dxa"/>
              <w:bottom w:w="85" w:type="dxa"/>
              <w:right w:w="85" w:type="dxa"/>
            </w:tcMar>
          </w:tcPr>
          <w:p>
            <w:pPr>
              <w:pStyle w:val="TableText"/>
            </w:pPr>
            <w:r>
              <w:rPr>
                <w:b w:val="0"/>
                <w:i w:val="0"/>
              </w:rPr>
              <w:t>Composition</w:t>
            </w:r>
          </w:p>
        </w:tc>
        <w:tc>
          <w:tcPr>
            <w:tcW w:type="dxa" w:w="3802"/>
            <w:vAlign w:val="top"/>
            <w:shd w:fill="FFFFFF"/>
            <w:tcMar>
              <w:top w:w="85" w:type="dxa"/>
              <w:left w:w="85" w:type="dxa"/>
              <w:bottom w:w="85" w:type="dxa"/>
              <w:right w:w="85" w:type="dxa"/>
            </w:tcMar>
          </w:tcPr>
          <w:p>
            <w:pPr>
              <w:pStyle w:val="TableText"/>
            </w:pPr>
            <w:r>
              <w:rPr>
                <w:b w:val="0"/>
                <w:i w:val="0"/>
              </w:rPr>
              <w:t>Required content, supported assertions, exact text, terminology and evidence scope.</w:t>
            </w:r>
          </w:p>
        </w:tc>
        <w:tc>
          <w:tcPr>
            <w:tcW w:type="dxa" w:w="3787"/>
            <w:vAlign w:val="top"/>
            <w:shd w:fill="FFFFFF"/>
            <w:tcMar>
              <w:top w:w="85" w:type="dxa"/>
              <w:left w:w="85" w:type="dxa"/>
              <w:bottom w:w="85" w:type="dxa"/>
              <w:right w:w="85" w:type="dxa"/>
            </w:tcMar>
          </w:tcPr>
          <w:p>
            <w:pPr>
              <w:pStyle w:val="TableText"/>
            </w:pPr>
            <w:r>
              <w:rPr>
                <w:b w:val="0"/>
                <w:i w:val="0"/>
              </w:rPr>
              <w:t>Rewrite only the failing component or require review.</w:t>
            </w:r>
          </w:p>
        </w:tc>
      </w:tr>
      <w:tr>
        <w:trPr>
          <w:cantSplit/>
        </w:trPr>
        <w:tc>
          <w:tcPr>
            <w:tcW w:type="dxa" w:w="1958"/>
            <w:vAlign w:val="top"/>
            <w:shd w:fill="F0F5F7"/>
            <w:tcMar>
              <w:top w:w="85" w:type="dxa"/>
              <w:left w:w="85" w:type="dxa"/>
              <w:bottom w:w="85" w:type="dxa"/>
              <w:right w:w="85" w:type="dxa"/>
            </w:tcMar>
          </w:tcPr>
          <w:p>
            <w:pPr>
              <w:pStyle w:val="TableText"/>
            </w:pPr>
            <w:r>
              <w:rPr>
                <w:b w:val="0"/>
                <w:i w:val="0"/>
              </w:rPr>
              <w:t>Native snapshot</w:t>
            </w:r>
          </w:p>
        </w:tc>
        <w:tc>
          <w:tcPr>
            <w:tcW w:type="dxa" w:w="3802"/>
            <w:vAlign w:val="top"/>
            <w:shd w:fill="F0F5F7"/>
            <w:tcMar>
              <w:top w:w="85" w:type="dxa"/>
              <w:left w:w="85" w:type="dxa"/>
              <w:bottom w:w="85" w:type="dxa"/>
              <w:right w:w="85" w:type="dxa"/>
            </w:tcMar>
          </w:tcPr>
          <w:p>
            <w:pPr>
              <w:pStyle w:val="TableText"/>
            </w:pPr>
            <w:r>
              <w:rPr>
                <w:b w:val="0"/>
                <w:i w:val="0"/>
              </w:rPr>
              <w:t>Schema, reference integrity, acyclic structure, units and intended coverage.</w:t>
            </w:r>
          </w:p>
        </w:tc>
        <w:tc>
          <w:tcPr>
            <w:tcW w:type="dxa" w:w="3787"/>
            <w:vAlign w:val="top"/>
            <w:shd w:fill="F0F5F7"/>
            <w:tcMar>
              <w:top w:w="85" w:type="dxa"/>
              <w:left w:w="85" w:type="dxa"/>
              <w:bottom w:w="85" w:type="dxa"/>
              <w:right w:w="85" w:type="dxa"/>
            </w:tcMar>
          </w:tcPr>
          <w:p>
            <w:pPr>
              <w:pStyle w:val="TableText"/>
            </w:pPr>
            <w:r>
              <w:rPr>
                <w:b w:val="0"/>
                <w:i w:val="0"/>
              </w:rPr>
              <w:t>Reject the revision until repaired.</w:t>
            </w:r>
          </w:p>
        </w:tc>
      </w:tr>
      <w:tr>
        <w:trPr>
          <w:cantSplit/>
        </w:trPr>
        <w:tc>
          <w:tcPr>
            <w:tcW w:type="dxa" w:w="1958"/>
            <w:vAlign w:val="top"/>
            <w:shd w:fill="FFFFFF"/>
            <w:tcMar>
              <w:top w:w="85" w:type="dxa"/>
              <w:left w:w="85" w:type="dxa"/>
              <w:bottom w:w="85" w:type="dxa"/>
              <w:right w:w="85" w:type="dxa"/>
            </w:tcMar>
          </w:tcPr>
          <w:p>
            <w:pPr>
              <w:pStyle w:val="TableText"/>
            </w:pPr>
            <w:r>
              <w:rPr>
                <w:b w:val="0"/>
                <w:i w:val="0"/>
              </w:rPr>
              <w:t>Export plan</w:t>
            </w:r>
          </w:p>
        </w:tc>
        <w:tc>
          <w:tcPr>
            <w:tcW w:type="dxa" w:w="3802"/>
            <w:vAlign w:val="top"/>
            <w:shd w:fill="FFFFFF"/>
            <w:tcMar>
              <w:top w:w="85" w:type="dxa"/>
              <w:left w:w="85" w:type="dxa"/>
              <w:bottom w:w="85" w:type="dxa"/>
              <w:right w:w="85" w:type="dxa"/>
            </w:tcMar>
          </w:tcPr>
          <w:p>
            <w:pPr>
              <w:pStyle w:val="TableText"/>
            </w:pPr>
            <w:r>
              <w:rPr>
                <w:b w:val="0"/>
                <w:i w:val="0"/>
              </w:rPr>
              <w:t>Requested capabilities and permitted fallbacks for each component.</w:t>
            </w:r>
          </w:p>
        </w:tc>
        <w:tc>
          <w:tcPr>
            <w:tcW w:type="dxa" w:w="3787"/>
            <w:vAlign w:val="top"/>
            <w:shd w:fill="FFFFFF"/>
            <w:tcMar>
              <w:top w:w="85" w:type="dxa"/>
              <w:left w:w="85" w:type="dxa"/>
              <w:bottom w:w="85" w:type="dxa"/>
              <w:right w:w="85" w:type="dxa"/>
            </w:tcMar>
          </w:tcPr>
          <w:p>
            <w:pPr>
              <w:pStyle w:val="TableText"/>
            </w:pPr>
            <w:r>
              <w:rPr>
                <w:b w:val="0"/>
                <w:i w:val="0"/>
              </w:rPr>
              <w:t>Block unsupported required behavior before expensive rendering.</w:t>
            </w:r>
          </w:p>
        </w:tc>
      </w:tr>
      <w:tr>
        <w:trPr>
          <w:cantSplit/>
        </w:trPr>
        <w:tc>
          <w:tcPr>
            <w:tcW w:type="dxa" w:w="1958"/>
            <w:vAlign w:val="top"/>
            <w:shd w:fill="F0F5F7"/>
            <w:tcMar>
              <w:top w:w="85" w:type="dxa"/>
              <w:left w:w="85" w:type="dxa"/>
              <w:bottom w:w="85" w:type="dxa"/>
              <w:right w:w="85" w:type="dxa"/>
            </w:tcMar>
          </w:tcPr>
          <w:p>
            <w:pPr>
              <w:pStyle w:val="TableText"/>
            </w:pPr>
            <w:r>
              <w:rPr>
                <w:b w:val="0"/>
                <w:i w:val="0"/>
              </w:rPr>
              <w:t>Rendered artifact</w:t>
            </w:r>
          </w:p>
        </w:tc>
        <w:tc>
          <w:tcPr>
            <w:tcW w:type="dxa" w:w="3802"/>
            <w:vAlign w:val="top"/>
            <w:shd w:fill="F0F5F7"/>
            <w:tcMar>
              <w:top w:w="85" w:type="dxa"/>
              <w:left w:w="85" w:type="dxa"/>
              <w:bottom w:w="85" w:type="dxa"/>
              <w:right w:w="85" w:type="dxa"/>
            </w:tcMar>
          </w:tcPr>
          <w:p>
            <w:pPr>
              <w:pStyle w:val="TableText"/>
            </w:pPr>
            <w:r>
              <w:rPr>
                <w:b w:val="0"/>
                <w:i w:val="0"/>
              </w:rPr>
              <w:t>Structure, content mapping, native behavior, readable layout and leakage.</w:t>
            </w:r>
          </w:p>
        </w:tc>
        <w:tc>
          <w:tcPr>
            <w:tcW w:type="dxa" w:w="3787"/>
            <w:vAlign w:val="top"/>
            <w:shd w:fill="F0F5F7"/>
            <w:tcMar>
              <w:top w:w="85" w:type="dxa"/>
              <w:left w:w="85" w:type="dxa"/>
              <w:bottom w:w="85" w:type="dxa"/>
              <w:right w:w="85" w:type="dxa"/>
            </w:tcMar>
          </w:tcPr>
          <w:p>
            <w:pPr>
              <w:pStyle w:val="TableText"/>
            </w:pPr>
            <w:r>
              <w:rPr>
                <w:b w:val="0"/>
                <w:i w:val="0"/>
              </w:rPr>
              <w:t>Repair the view/backend; do not regenerate unrelated facts or prose.</w:t>
            </w:r>
          </w:p>
        </w:tc>
      </w:tr>
    </w:tbl>
    <w:p>
      <w:pPr>
        <w:spacing w:after="60" w:before="0" w:line="40" w:lineRule="exact"/>
      </w:pPr>
      <w:r>
        <w:rPr>
          <w:sz w:val="4"/>
        </w:rPr>
      </w:r>
    </w:p>
    <w:p>
      <w:r>
        <w:rPr>
          <w:b w:val="0"/>
          <w:i w:val="0"/>
        </w:rPr>
        <w:t>A valid JSON object is not a correct report. An OOXML file that opens is not necessarily readable or functional. A visually faithful page is not evidence of correct calculations.</w:t>
      </w:r>
    </w:p>
    <w:p>
      <w:pPr>
        <w:pStyle w:val="Heading2"/>
      </w:pPr>
      <w:r>
        <w:rPr>
          <w:b w:val="0"/>
          <w:i w:val="0"/>
        </w:rPr>
        <w:t>2. Evaluators must not share the candidate's errors</w:t>
      </w:r>
    </w:p>
    <w:p>
      <w:r>
        <w:rPr>
          <w:b w:val="0"/>
          <w:i w:val="0"/>
        </w:rPr>
        <w:t>Expected historical values are extracted from the original reports with provenance and quality flags, then protected from candidate writes. Where practical, compute important checks through a small independent implementation or reviewed fixture. A candidate must not rewrite its own expected totals until tests pass.</w:t>
      </w:r>
    </w:p>
    <w:p>
      <w:r>
        <w:rPr>
          <w:b w:val="0"/>
          <w:i w:val="0"/>
        </w:rPr>
        <w:t>Keep arithmetic assertions and structural checks deterministic. Use a model grader for questions that genuinely need language understanding, with a narrow rubric and source packet. Calibrate graders on human-reviewed positives and negatives, and record disagreement. Anthropic's evaluation guidance distinguishes deterministic, model-based and human grading and discusses reliability across repeated runs. [S15]</w:t>
      </w:r>
    </w:p>
    <w:p>
      <w:r>
        <w:rPr>
          <w:b w:val="0"/>
          <w:i w:val="0"/>
        </w:rPr>
        <w:t>Do not use one overall “report quality” score as the sole gate. Critical factual defects and omitted required components fail regardless of aesthetic quality. Weight stylistic preferences only after correctness and coverage gates pass.</w:t>
      </w:r>
    </w:p>
    <w:p>
      <w:pPr>
        <w:pStyle w:val="Heading2"/>
      </w:pPr>
      <w:r>
        <w:rPr>
          <w:b w:val="0"/>
          <w:i w:val="0"/>
        </w:rPr>
        <w:t>3. Three evaluation suites</w:t>
      </w:r>
    </w:p>
    <w:p>
      <w:r>
        <w:rPr>
          <w:b w:val="0"/>
          <w:i w:val="0"/>
        </w:rPr>
      </w:r>
      <w:r>
        <w:rPr>
          <w:b/>
          <w:i w:val="0"/>
        </w:rPr>
        <w:t>Learning suite:</w:t>
      </w:r>
      <w:r>
        <w:rPr>
          <w:b w:val="0"/>
          <w:i w:val="0"/>
        </w:rPr>
        <w:t xml:space="preserve"> fresh learning runs from the same example sets; rule recovery on synthetic report types with known ground truth; held-out periods; ambiguous-policy cases; source-schema drift; and contradiction handling. Compare semantic behavior, not whether generated code is textually identical.</w:t>
      </w:r>
    </w:p>
    <w:p>
      <w:r>
        <w:rPr>
          <w:b w:val="0"/>
          <w:i w:val="0"/>
        </w:rPr>
      </w:r>
      <w:r>
        <w:rPr>
          <w:b/>
          <w:i w:val="0"/>
        </w:rPr>
        <w:t>Runtime suite:</w:t>
      </w:r>
      <w:r>
        <w:rPr>
          <w:b w:val="0"/>
          <w:i w:val="0"/>
        </w:rPr>
        <w:t xml:space="preserve"> repeated new-period runs with a frozen program; missing inputs; restatements; zero denominators; locale/time-zone boundaries; narrative support; and partial-failure recovery. Measure whole-report acceptance without manual correction and critical-defect counts, not just paragraph-level scores.</w:t>
      </w:r>
    </w:p>
    <w:p>
      <w:r>
        <w:rPr>
          <w:b w:val="0"/>
          <w:i w:val="0"/>
        </w:rPr>
      </w:r>
      <w:r>
        <w:rPr>
          <w:b/>
          <w:i w:val="0"/>
        </w:rPr>
        <w:t>Renderer suite:</w:t>
      </w:r>
      <w:r>
        <w:rPr>
          <w:b w:val="0"/>
          <w:i w:val="0"/>
        </w:rPr>
        <w:t xml:space="preserve"> hand-authored snapshots that isolate layout and behavior, independent of learning. Include dynamic-height tables, long unbroken labels, mixed orientations, hanging indents, chart data, native pivots, overflowing slides, non-Latin text where supported, missing fonts and unapproved embedded data.</w:t>
      </w:r>
    </w:p>
    <w:p>
      <w:r>
        <w:rPr>
          <w:b w:val="0"/>
          <w:i w:val="0"/>
        </w:rPr>
        <w:t>Maintain an explicit corpus manifest with learning/holdout/regression membership and exposure history. Reserve a fresh evaluation set when tuning has consumed the old one. A one-example case is tested for consistency but cannot honestly claim empirical cross-period coverage.</w:t>
      </w:r>
    </w:p>
    <w:p>
      <w:pPr>
        <w:pStyle w:val="Heading2"/>
      </w:pPr>
      <w:r>
        <w:rPr>
          <w:b w:val="0"/>
          <w:i w:val="0"/>
        </w:rPr>
        <w:t>4. Visual and functional QA</w:t>
      </w:r>
    </w:p>
    <w:p>
      <w:r>
        <w:rPr>
          <w:b w:val="0"/>
          <w:i w:val="0"/>
        </w:rPr>
        <w:t>Inspect actual target renders. Text extraction checks content but misses clipping and pagination. Pixel comparisons detect visual changes but can overreact to harmless font rasterization and miss behavioral defects. Combine structure, geometry, normalized text/data and visual checks.</w:t>
      </w:r>
    </w:p>
    <w:p>
      <w:r>
        <w:rPr>
          <w:b w:val="0"/>
          <w:i w:val="0"/>
        </w:rPr>
        <w:t>DOCX checks include paragraph/style/numbering properties, tables, relationships, repeated headers and rendered pages. XLSX checks include values, types, formulas/caches, chart data, native pivot parts and behavior in the supported application. PPTX checks include frame bounds, text overflow, chart data and slide coverage. PDF checks include missing content, page geometry, font substitutions and accessibility where promised.</w:t>
      </w:r>
    </w:p>
    <w:p>
      <w:r>
        <w:rPr>
          <w:b w:val="0"/>
          <w:i w:val="0"/>
        </w:rPr>
        <w:t>Define a supported consumer matrix. Testing a workbook only in one server-side converter does not certify Excel interaction. Testing a Word document only through one alternative renderer does not establish identical Microsoft Word pagination. The product must state which applications and feature profiles have been certified.</w:t>
      </w:r>
    </w:p>
    <w:p>
      <w:pPr>
        <w:pStyle w:val="Heading2"/>
      </w:pPr>
      <w:r>
        <w:rPr>
          <w:b w:val="0"/>
          <w:i w:val="0"/>
        </w:rPr>
        <w:t>5. Security boundaries</w:t>
      </w:r>
    </w:p>
    <w:p>
      <w:r>
        <w:rPr>
          <w:b w:val="0"/>
          <w:i w:val="0"/>
        </w:rPr>
        <w:t>Treat uploaded text, file names, comments, metadata and external links as untrusted data. A malicious document can contain instructions aimed at the model. OWASP describes indirect prompt injection and recommends layered controls; source text must not grant tools, change publication rules or authorize network access. [S16]</w:t>
      </w:r>
    </w:p>
    <w:p>
      <w:r>
        <w:rPr>
          <w:b w:val="0"/>
          <w:i w:val="0"/>
        </w:rPr>
        <w:t>Parse potentially hostile files with resource limits and safe archive/XML handling. Reject or isolate archive traversal, decompression bombs, encrypted inputs without a supported unlock flow, and unsupported active content. Do not execute macros, follow arbitrary external workbook links or fetch embedded URLs automatically.</w:t>
      </w:r>
    </w:p>
    <w:p>
      <w:r>
        <w:rPr>
          <w:b w:val="0"/>
          <w:i w:val="0"/>
        </w:rPr>
        <w:t>Generated code runs without production credentials, host filesystem access or unrestricted egress. Mount only the authorized immutable inputs and a bounded writable scratch area. Enforce CPU, memory, process, wall-clock and output limits. Install only allowlisted, pinned dependencies; package installation is not an unrestricted model tool.</w:t>
      </w:r>
    </w:p>
    <w:p>
      <w:r>
        <w:rPr>
          <w:b w:val="0"/>
          <w:i w:val="0"/>
        </w:rPr>
        <w:t>Use a stronger sandbox boundary for untrusted execution, such as an evaluated gVisor or microVM deployment, and test compatibility with the parsing/rendering stack. gVisor documents stronger isolation through an application kernel as well as compatibility and overhead tradeoffs. It does not remove the need for least privilege or application-level authorization. [S17]</w:t>
      </w:r>
    </w:p>
    <w:p>
      <w:r>
        <w:rPr>
          <w:b w:val="0"/>
          <w:i w:val="0"/>
        </w:rPr>
        <w:t>The model gateway handles credentials and provider policy outside execution sandboxes. Tenant access checks apply to every artifact retrieval. Logs and observability views are access-controlled; sensitive values are minimized or redacted according to policy. Templates and export artifacts are scanned for embedded data beyond their approved disclosure scope.</w:t>
      </w:r>
    </w:p>
    <w:p>
      <w:pPr>
        <w:pStyle w:val="Heading2"/>
      </w:pPr>
      <w:r>
        <w:rPr>
          <w:b w:val="0"/>
          <w:i w:val="0"/>
        </w:rPr>
        <w:t>6. Persistence and execution semantics</w:t>
      </w:r>
    </w:p>
    <w:p>
      <w:r>
        <w:rPr>
          <w:b w:val="0"/>
          <w:i w:val="0"/>
        </w:rPr>
        <w:t>Use object storage for original sources, extracted regions, columnar tables, templates, accepted model outputs, snapshots and exports. Use PostgreSQL for identities, access scopes, versions, job states, references and evaluation findings. The object catalog records content digest, size, media type, producer and retention/access metadata.</w:t>
      </w:r>
    </w:p>
    <w:p>
      <w:r>
        <w:rPr>
          <w:b w:val="0"/>
          <w:i w:val="0"/>
        </w:rPr>
        <w:t>A worker leases a job and checkpoints stage outputs atomically with its state transition. Lost leases permit safe retry. Idempotency keys include the tenant, operation and declared input digest; duplicate requests must not publish duplicate versions or charge repeated model work unnecessarily. Cancellation stops future stages and terminates sandbox work where supported.</w:t>
      </w:r>
    </w:p>
    <w:p>
      <w:r>
        <w:rPr>
          <w:b w:val="0"/>
          <w:i w:val="0"/>
        </w:rPr>
        <w:t>Do not assume distributed exactly-once execution. Make writes idempotent and publication conditional. Clean orphaned temporary artifacts separately from accepted immutable objects. Retention rules distinguish raw inputs, reproducibility records and user-requested deletion; identify what can no longer be regenerated after deletion.</w:t>
      </w:r>
    </w:p>
    <w:p>
      <w:pPr>
        <w:pStyle w:val="Heading2"/>
      </w:pPr>
      <w:r>
        <w:rPr>
          <w:b w:val="0"/>
          <w:i w:val="0"/>
        </w:rPr>
        <w:t>7. Cache what has explicit dependencies</w:t>
      </w:r>
    </w:p>
    <w:p>
      <w:r>
        <w:rPr>
          <w:b w:val="0"/>
          <w:i w:val="0"/>
        </w:rPr>
        <w:t>An extraction cache key includes the source digest, parser/model version, configuration and output schema. A computation key includes code, environment, declared input versions and parameters. A composition key includes its evidence packet, instructions, model/configuration and schema. An export key includes snapshot revision, view, backend, assets/fonts and fidelity policy.</w:t>
      </w:r>
    </w:p>
    <w:p>
      <w:r>
        <w:rPr>
          <w:b w:val="0"/>
          <w:i w:val="0"/>
        </w:rPr>
        <w:t>Persist actual outputs of nondeterministic stages. A cache hit reuses those outputs; a fresh run can differ. Revalidate an existing snapshot under a new validator without assuming a new validator can change accepted content silently.</w:t>
      </w:r>
    </w:p>
    <w:p>
      <w:r>
        <w:rPr>
          <w:b w:val="0"/>
          <w:i w:val="0"/>
        </w:rPr>
        <w:t>Materialize shared aggregates once. Recompute only downstream dependents of an edit. Use deterministic cataloging and profiling before model analysis. Summarize tool results with artifact references. Route expensive analysis only to unresolved components. These are design choices to test; no latency target is claimed before the workload distribution is measured.</w:t>
      </w:r>
    </w:p>
    <w:p>
      <w:r>
        <w:rPr>
          <w:b w:val="0"/>
          <w:i w:val="0"/>
        </w:rPr>
        <w:t>Initial budgets should be configurable by input size and report complexity: parsing bytes/pages, scan cost, sandbox memory, model calls, tokens, retries and export pages/slides. Begin with a small local rewrite budget, for example two attempts per failed narrative component, and calibrate it. Exceeding a budget produces an explicit issue, not silent truncation.</w:t>
      </w:r>
    </w:p>
    <w:p>
      <w:pPr>
        <w:pStyle w:val="Heading2"/>
      </w:pPr>
      <w:r>
        <w:rPr>
          <w:b w:val="0"/>
          <w:i w:val="0"/>
        </w:rPr>
        <w:t>8. Minimal public API</w:t>
      </w:r>
    </w:p>
    <w:tbl>
      <w:tblPr>
        <w:tblW w:type="auto" w:w="0"/>
        <w:jc w:val="center"/>
        <w:tblLayout w:type="fixed"/>
        <w:tblLook w:firstColumn="1" w:firstRow="1" w:lastColumn="0" w:lastRow="0" w:noHBand="0" w:noVBand="1" w:val="04A0"/>
      </w:tblPr>
      <w:tblGrid>
        <w:gridCol w:w="4176"/>
        <w:gridCol w:w="5371"/>
      </w:tblGrid>
      <w:tr>
        <w:trPr>
          <w:cantSplit/>
          <w:tblHeader/>
        </w:trPr>
        <w:tc>
          <w:tcPr>
            <w:tcW w:type="dxa" w:w="4176"/>
            <w:vAlign w:val="top"/>
            <w:shd w:fill="173042"/>
            <w:tcMar>
              <w:top w:w="85" w:type="dxa"/>
              <w:left w:w="85" w:type="dxa"/>
              <w:bottom w:w="85" w:type="dxa"/>
              <w:right w:w="85" w:type="dxa"/>
            </w:tcMar>
          </w:tcPr>
          <w:p>
            <w:pPr>
              <w:pStyle w:val="TableHeader"/>
            </w:pPr>
            <w:r>
              <w:rPr>
                <w:b/>
                <w:i w:val="0"/>
                <w:color w:val="FFFFFF"/>
              </w:rPr>
              <w:t>Operation</w:t>
            </w:r>
          </w:p>
        </w:tc>
        <w:tc>
          <w:tcPr>
            <w:tcW w:type="dxa" w:w="5371"/>
            <w:vAlign w:val="top"/>
            <w:shd w:fill="173042"/>
            <w:tcMar>
              <w:top w:w="85" w:type="dxa"/>
              <w:left w:w="85" w:type="dxa"/>
              <w:bottom w:w="85" w:type="dxa"/>
              <w:right w:w="85" w:type="dxa"/>
            </w:tcMar>
          </w:tcPr>
          <w:p>
            <w:pPr>
              <w:pStyle w:val="TableHeader"/>
            </w:pPr>
            <w:r>
              <w:rPr>
                <w:b/>
                <w:i w:val="0"/>
                <w:color w:val="FFFFFF"/>
              </w:rPr>
              <w:t>Purpose</w:t>
            </w:r>
          </w:p>
        </w:tc>
      </w:tr>
      <w:tr>
        <w:trPr>
          <w:cantSplit/>
        </w:trPr>
        <w:tc>
          <w:tcPr>
            <w:tcW w:type="dxa" w:w="4176"/>
            <w:vAlign w:val="top"/>
            <w:shd w:fill="F0F5F7"/>
            <w:tcMar>
              <w:top w:w="85" w:type="dxa"/>
              <w:left w:w="85" w:type="dxa"/>
              <w:bottom w:w="85" w:type="dxa"/>
              <w:right w:w="85" w:type="dxa"/>
            </w:tcMar>
          </w:tcPr>
          <w:p>
            <w:pPr>
              <w:pStyle w:val="TableText"/>
            </w:pPr>
            <w:r>
              <w:rPr>
                <w:rFonts w:ascii="DejaVu Sans Mono" w:hAnsi="DejaVu Sans Mono"/>
                <w:b w:val="0"/>
                <w:i w:val="0"/>
                <w:sz w:val="17"/>
              </w:rPr>
              <w:t>POST /assets</w:t>
            </w:r>
          </w:p>
        </w:tc>
        <w:tc>
          <w:tcPr>
            <w:tcW w:type="dxa" w:w="5371"/>
            <w:vAlign w:val="top"/>
            <w:shd w:fill="F0F5F7"/>
            <w:tcMar>
              <w:top w:w="85" w:type="dxa"/>
              <w:left w:w="85" w:type="dxa"/>
              <w:bottom w:w="85" w:type="dxa"/>
              <w:right w:w="85" w:type="dxa"/>
            </w:tcMar>
          </w:tcPr>
          <w:p>
            <w:pPr>
              <w:pStyle w:val="TableText"/>
            </w:pPr>
            <w:r>
              <w:rPr>
                <w:b w:val="0"/>
                <w:i w:val="0"/>
              </w:rPr>
              <w:t>Register/upload an immutable input and start inspection.</w:t>
            </w:r>
          </w:p>
        </w:tc>
      </w:tr>
      <w:tr>
        <w:trPr>
          <w:cantSplit/>
        </w:trPr>
        <w:tc>
          <w:tcPr>
            <w:tcW w:type="dxa" w:w="4176"/>
            <w:vAlign w:val="top"/>
            <w:shd w:fill="FFFFFF"/>
            <w:tcMar>
              <w:top w:w="85" w:type="dxa"/>
              <w:left w:w="85" w:type="dxa"/>
              <w:bottom w:w="85" w:type="dxa"/>
              <w:right w:w="85" w:type="dxa"/>
            </w:tcMar>
          </w:tcPr>
          <w:p>
            <w:pPr>
              <w:pStyle w:val="TableText"/>
            </w:pPr>
            <w:r>
              <w:rPr>
                <w:rFonts w:ascii="DejaVu Sans Mono" w:hAnsi="DejaVu Sans Mono"/>
                <w:b w:val="0"/>
                <w:i w:val="0"/>
                <w:sz w:val="17"/>
              </w:rPr>
              <w:t>POST /report-types</w:t>
            </w:r>
          </w:p>
        </w:tc>
        <w:tc>
          <w:tcPr>
            <w:tcW w:type="dxa" w:w="5371"/>
            <w:vAlign w:val="top"/>
            <w:shd w:fill="FFFFFF"/>
            <w:tcMar>
              <w:top w:w="85" w:type="dxa"/>
              <w:left w:w="85" w:type="dxa"/>
              <w:bottom w:w="85" w:type="dxa"/>
              <w:right w:w="85" w:type="dxa"/>
            </w:tcMar>
          </w:tcPr>
          <w:p>
            <w:pPr>
              <w:pStyle w:val="TableText"/>
            </w:pPr>
            <w:r>
              <w:rPr>
                <w:b w:val="0"/>
                <w:i w:val="0"/>
              </w:rPr>
              <w:t>Create a report type and required output/fidelity profile.</w:t>
            </w:r>
          </w:p>
        </w:tc>
      </w:tr>
      <w:tr>
        <w:trPr>
          <w:cantSplit/>
        </w:trPr>
        <w:tc>
          <w:tcPr>
            <w:tcW w:type="dxa" w:w="4176"/>
            <w:vAlign w:val="top"/>
            <w:shd w:fill="F0F5F7"/>
            <w:tcMar>
              <w:top w:w="85" w:type="dxa"/>
              <w:left w:w="85" w:type="dxa"/>
              <w:bottom w:w="85" w:type="dxa"/>
              <w:right w:w="85" w:type="dxa"/>
            </w:tcMar>
          </w:tcPr>
          <w:p>
            <w:pPr>
              <w:pStyle w:val="TableText"/>
            </w:pPr>
            <w:r>
              <w:rPr>
                <w:rFonts w:ascii="DejaVu Sans Mono" w:hAnsi="DejaVu Sans Mono"/>
                <w:b w:val="0"/>
                <w:i w:val="0"/>
                <w:sz w:val="17"/>
              </w:rPr>
              <w:t>POST /report-types/{id}/examples</w:t>
            </w:r>
          </w:p>
        </w:tc>
        <w:tc>
          <w:tcPr>
            <w:tcW w:type="dxa" w:w="5371"/>
            <w:vAlign w:val="top"/>
            <w:shd w:fill="F0F5F7"/>
            <w:tcMar>
              <w:top w:w="85" w:type="dxa"/>
              <w:left w:w="85" w:type="dxa"/>
              <w:bottom w:w="85" w:type="dxa"/>
              <w:right w:w="85" w:type="dxa"/>
            </w:tcMar>
          </w:tcPr>
          <w:p>
            <w:pPr>
              <w:pStyle w:val="TableText"/>
            </w:pPr>
            <w:r>
              <w:rPr>
                <w:b w:val="0"/>
                <w:i w:val="0"/>
              </w:rPr>
              <w:t>Attach a historical case with explicit source and target bindings.</w:t>
            </w:r>
          </w:p>
        </w:tc>
      </w:tr>
      <w:tr>
        <w:trPr>
          <w:cantSplit/>
        </w:trPr>
        <w:tc>
          <w:tcPr>
            <w:tcW w:type="dxa" w:w="4176"/>
            <w:vAlign w:val="top"/>
            <w:shd w:fill="FFFFFF"/>
            <w:tcMar>
              <w:top w:w="85" w:type="dxa"/>
              <w:left w:w="85" w:type="dxa"/>
              <w:bottom w:w="85" w:type="dxa"/>
              <w:right w:w="85" w:type="dxa"/>
            </w:tcMar>
          </w:tcPr>
          <w:p>
            <w:pPr>
              <w:pStyle w:val="TableText"/>
            </w:pPr>
            <w:r>
              <w:rPr>
                <w:rFonts w:ascii="DejaVu Sans Mono" w:hAnsi="DejaVu Sans Mono"/>
                <w:b w:val="0"/>
                <w:i w:val="0"/>
                <w:sz w:val="17"/>
              </w:rPr>
              <w:t>POST /report-types/{id}/learning-runs</w:t>
            </w:r>
          </w:p>
        </w:tc>
        <w:tc>
          <w:tcPr>
            <w:tcW w:type="dxa" w:w="5371"/>
            <w:vAlign w:val="top"/>
            <w:shd w:fill="FFFFFF"/>
            <w:tcMar>
              <w:top w:w="85" w:type="dxa"/>
              <w:left w:w="85" w:type="dxa"/>
              <w:bottom w:w="85" w:type="dxa"/>
              <w:right w:w="85" w:type="dxa"/>
            </w:tcMar>
          </w:tcPr>
          <w:p>
            <w:pPr>
              <w:pStyle w:val="TableText"/>
            </w:pPr>
            <w:r>
              <w:rPr>
                <w:b w:val="0"/>
                <w:i w:val="0"/>
              </w:rPr>
              <w:t>Start or resume learning against a candidate revision.</w:t>
            </w:r>
          </w:p>
        </w:tc>
      </w:tr>
      <w:tr>
        <w:trPr>
          <w:cantSplit/>
        </w:trPr>
        <w:tc>
          <w:tcPr>
            <w:tcW w:type="dxa" w:w="4176"/>
            <w:vAlign w:val="top"/>
            <w:shd w:fill="F0F5F7"/>
            <w:tcMar>
              <w:top w:w="85" w:type="dxa"/>
              <w:left w:w="85" w:type="dxa"/>
              <w:bottom w:w="85" w:type="dxa"/>
              <w:right w:w="85" w:type="dxa"/>
            </w:tcMar>
          </w:tcPr>
          <w:p>
            <w:pPr>
              <w:pStyle w:val="TableText"/>
            </w:pPr>
            <w:r>
              <w:rPr>
                <w:rFonts w:ascii="DejaVu Sans Mono" w:hAnsi="DejaVu Sans Mono"/>
                <w:b w:val="0"/>
                <w:i w:val="0"/>
                <w:sz w:val="17"/>
              </w:rPr>
              <w:t>POST /program-versions/{id}/publish</w:t>
            </w:r>
          </w:p>
        </w:tc>
        <w:tc>
          <w:tcPr>
            <w:tcW w:type="dxa" w:w="5371"/>
            <w:vAlign w:val="top"/>
            <w:shd w:fill="F0F5F7"/>
            <w:tcMar>
              <w:top w:w="85" w:type="dxa"/>
              <w:left w:w="85" w:type="dxa"/>
              <w:bottom w:w="85" w:type="dxa"/>
              <w:right w:w="85" w:type="dxa"/>
            </w:tcMar>
          </w:tcPr>
          <w:p>
            <w:pPr>
              <w:pStyle w:val="TableText"/>
            </w:pPr>
            <w:r>
              <w:rPr>
                <w:b w:val="0"/>
                <w:i w:val="0"/>
              </w:rPr>
              <w:t>Publish only the evaluated candidate digest under policy.</w:t>
            </w:r>
          </w:p>
        </w:tc>
      </w:tr>
      <w:tr>
        <w:trPr>
          <w:cantSplit/>
        </w:trPr>
        <w:tc>
          <w:tcPr>
            <w:tcW w:type="dxa" w:w="4176"/>
            <w:vAlign w:val="top"/>
            <w:shd w:fill="FFFFFF"/>
            <w:tcMar>
              <w:top w:w="85" w:type="dxa"/>
              <w:left w:w="85" w:type="dxa"/>
              <w:bottom w:w="85" w:type="dxa"/>
              <w:right w:w="85" w:type="dxa"/>
            </w:tcMar>
          </w:tcPr>
          <w:p>
            <w:pPr>
              <w:pStyle w:val="TableText"/>
            </w:pPr>
            <w:r>
              <w:rPr>
                <w:rFonts w:ascii="DejaVu Sans Mono" w:hAnsi="DejaVu Sans Mono"/>
                <w:b w:val="0"/>
                <w:i w:val="0"/>
                <w:sz w:val="17"/>
              </w:rPr>
              <w:t>POST /report-runs</w:t>
            </w:r>
          </w:p>
        </w:tc>
        <w:tc>
          <w:tcPr>
            <w:tcW w:type="dxa" w:w="5371"/>
            <w:vAlign w:val="top"/>
            <w:shd w:fill="FFFFFF"/>
            <w:tcMar>
              <w:top w:w="85" w:type="dxa"/>
              <w:left w:w="85" w:type="dxa"/>
              <w:bottom w:w="85" w:type="dxa"/>
              <w:right w:w="85" w:type="dxa"/>
            </w:tcMar>
          </w:tcPr>
          <w:p>
            <w:pPr>
              <w:pStyle w:val="TableText"/>
            </w:pPr>
            <w:r>
              <w:rPr>
                <w:b w:val="0"/>
                <w:i w:val="0"/>
              </w:rPr>
              <w:t>Generate a native snapshot from a published version and bound inputs.</w:t>
            </w:r>
          </w:p>
        </w:tc>
      </w:tr>
      <w:tr>
        <w:trPr>
          <w:cantSplit/>
        </w:trPr>
        <w:tc>
          <w:tcPr>
            <w:tcW w:type="dxa" w:w="4176"/>
            <w:vAlign w:val="top"/>
            <w:shd w:fill="F0F5F7"/>
            <w:tcMar>
              <w:top w:w="85" w:type="dxa"/>
              <w:left w:w="85" w:type="dxa"/>
              <w:bottom w:w="85" w:type="dxa"/>
              <w:right w:w="85" w:type="dxa"/>
            </w:tcMar>
          </w:tcPr>
          <w:p>
            <w:pPr>
              <w:pStyle w:val="TableText"/>
            </w:pPr>
            <w:r>
              <w:rPr>
                <w:rFonts w:ascii="DejaVu Sans Mono" w:hAnsi="DejaVu Sans Mono"/>
                <w:b w:val="0"/>
                <w:i w:val="0"/>
                <w:sz w:val="17"/>
              </w:rPr>
              <w:t>POST /report-snapshots/{id}/revisions</w:t>
            </w:r>
          </w:p>
        </w:tc>
        <w:tc>
          <w:tcPr>
            <w:tcW w:type="dxa" w:w="5371"/>
            <w:vAlign w:val="top"/>
            <w:shd w:fill="F0F5F7"/>
            <w:tcMar>
              <w:top w:w="85" w:type="dxa"/>
              <w:left w:w="85" w:type="dxa"/>
              <w:bottom w:w="85" w:type="dxa"/>
              <w:right w:w="85" w:type="dxa"/>
            </w:tcMar>
          </w:tcPr>
          <w:p>
            <w:pPr>
              <w:pStyle w:val="TableText"/>
            </w:pPr>
            <w:r>
              <w:rPr>
                <w:b w:val="0"/>
                <w:i w:val="0"/>
              </w:rPr>
              <w:t>Apply explicit content/override edits, creating a new revision.</w:t>
            </w:r>
          </w:p>
        </w:tc>
      </w:tr>
      <w:tr>
        <w:trPr>
          <w:cantSplit/>
        </w:trPr>
        <w:tc>
          <w:tcPr>
            <w:tcW w:type="dxa" w:w="4176"/>
            <w:vAlign w:val="top"/>
            <w:shd w:fill="FFFFFF"/>
            <w:tcMar>
              <w:top w:w="85" w:type="dxa"/>
              <w:left w:w="85" w:type="dxa"/>
              <w:bottom w:w="85" w:type="dxa"/>
              <w:right w:w="85" w:type="dxa"/>
            </w:tcMar>
          </w:tcPr>
          <w:p>
            <w:pPr>
              <w:pStyle w:val="TableText"/>
            </w:pPr>
            <w:r>
              <w:rPr>
                <w:rFonts w:ascii="DejaVu Sans Mono" w:hAnsi="DejaVu Sans Mono"/>
                <w:b w:val="0"/>
                <w:i w:val="0"/>
                <w:sz w:val="17"/>
              </w:rPr>
              <w:t>POST /report-snapshots/{id}/views</w:t>
            </w:r>
          </w:p>
        </w:tc>
        <w:tc>
          <w:tcPr>
            <w:tcW w:type="dxa" w:w="5371"/>
            <w:vAlign w:val="top"/>
            <w:shd w:fill="FFFFFF"/>
            <w:tcMar>
              <w:top w:w="85" w:type="dxa"/>
              <w:left w:w="85" w:type="dxa"/>
              <w:bottom w:w="85" w:type="dxa"/>
              <w:right w:w="85" w:type="dxa"/>
            </w:tcMar>
          </w:tcPr>
          <w:p>
            <w:pPr>
              <w:pStyle w:val="TableText"/>
            </w:pPr>
            <w:r>
              <w:rPr>
                <w:b w:val="0"/>
                <w:i w:val="0"/>
              </w:rPr>
              <w:t>Create or revise a presentation/content-variant view.</w:t>
            </w:r>
          </w:p>
        </w:tc>
      </w:tr>
      <w:tr>
        <w:trPr>
          <w:cantSplit/>
        </w:trPr>
        <w:tc>
          <w:tcPr>
            <w:tcW w:type="dxa" w:w="4176"/>
            <w:vAlign w:val="top"/>
            <w:shd w:fill="F0F5F7"/>
            <w:tcMar>
              <w:top w:w="85" w:type="dxa"/>
              <w:left w:w="85" w:type="dxa"/>
              <w:bottom w:w="85" w:type="dxa"/>
              <w:right w:w="85" w:type="dxa"/>
            </w:tcMar>
          </w:tcPr>
          <w:p>
            <w:pPr>
              <w:pStyle w:val="TableText"/>
            </w:pPr>
            <w:r>
              <w:rPr>
                <w:rFonts w:ascii="DejaVu Sans Mono" w:hAnsi="DejaVu Sans Mono"/>
                <w:b w:val="0"/>
                <w:i w:val="0"/>
                <w:sz w:val="17"/>
              </w:rPr>
              <w:t>POST /exports</w:t>
            </w:r>
          </w:p>
        </w:tc>
        <w:tc>
          <w:tcPr>
            <w:tcW w:type="dxa" w:w="5371"/>
            <w:vAlign w:val="top"/>
            <w:shd w:fill="F0F5F7"/>
            <w:tcMar>
              <w:top w:w="85" w:type="dxa"/>
              <w:left w:w="85" w:type="dxa"/>
              <w:bottom w:w="85" w:type="dxa"/>
              <w:right w:w="85" w:type="dxa"/>
            </w:tcMar>
          </w:tcPr>
          <w:p>
            <w:pPr>
              <w:pStyle w:val="TableText"/>
            </w:pPr>
            <w:r>
              <w:rPr>
                <w:b w:val="0"/>
                <w:i w:val="0"/>
              </w:rPr>
              <w:t>Render a frozen snapshot/view under a fidelity policy.</w:t>
            </w:r>
          </w:p>
        </w:tc>
      </w:tr>
      <w:tr>
        <w:trPr>
          <w:cantSplit/>
        </w:trPr>
        <w:tc>
          <w:tcPr>
            <w:tcW w:type="dxa" w:w="4176"/>
            <w:vAlign w:val="top"/>
            <w:shd w:fill="FFFFFF"/>
            <w:tcMar>
              <w:top w:w="85" w:type="dxa"/>
              <w:left w:w="85" w:type="dxa"/>
              <w:bottom w:w="85" w:type="dxa"/>
              <w:right w:w="85" w:type="dxa"/>
            </w:tcMar>
          </w:tcPr>
          <w:p>
            <w:pPr>
              <w:pStyle w:val="TableText"/>
            </w:pPr>
            <w:r>
              <w:rPr>
                <w:rFonts w:ascii="DejaVu Sans Mono" w:hAnsi="DejaVu Sans Mono"/>
                <w:b w:val="0"/>
                <w:i w:val="0"/>
                <w:sz w:val="17"/>
              </w:rPr>
              <w:t>GET /jobs/{id}</w:t>
            </w:r>
          </w:p>
        </w:tc>
        <w:tc>
          <w:tcPr>
            <w:tcW w:type="dxa" w:w="5371"/>
            <w:vAlign w:val="top"/>
            <w:shd w:fill="FFFFFF"/>
            <w:tcMar>
              <w:top w:w="85" w:type="dxa"/>
              <w:left w:w="85" w:type="dxa"/>
              <w:bottom w:w="85" w:type="dxa"/>
              <w:right w:w="85" w:type="dxa"/>
            </w:tcMar>
          </w:tcPr>
          <w:p>
            <w:pPr>
              <w:pStyle w:val="TableText"/>
            </w:pPr>
            <w:r>
              <w:rPr>
                <w:b w:val="0"/>
                <w:i w:val="0"/>
              </w:rPr>
              <w:t>Return stage, progress evidence, blockers and completed artifact references.</w:t>
            </w:r>
          </w:p>
        </w:tc>
      </w:tr>
    </w:tbl>
    <w:p>
      <w:pPr>
        <w:spacing w:after="60" w:before="0" w:line="40" w:lineRule="exact"/>
      </w:pPr>
      <w:r>
        <w:rPr>
          <w:sz w:val="4"/>
        </w:rPr>
      </w:r>
    </w:p>
    <w:p>
      <w:r>
        <w:rPr>
          <w:b w:val="0"/>
          <w:i w:val="0"/>
        </w:rPr>
        <w:t>Mutation requests require tenant authorization, expected revision and an idempotency key where applicable. Long operations return job IDs. Progress events describe concrete completed stages and issues, not invented percentages. An accepted export request does not imply that its fidelity gate has passed.</w:t>
      </w:r>
    </w:p>
    <w:p>
      <w:pPr>
        <w:pStyle w:val="Heading2"/>
      </w:pPr>
      <w:r>
        <w:rPr>
          <w:b w:val="0"/>
          <w:i w:val="0"/>
        </w:rPr>
        <w:t>9. Build sequence and acceptance criteria</w:t>
      </w:r>
    </w:p>
    <w:p>
      <w:pPr>
        <w:pStyle w:val="Heading3"/>
      </w:pPr>
      <w:r>
        <w:rPr>
          <w:b w:val="0"/>
          <w:i w:val="0"/>
        </w:rPr>
        <w:t>Milestone A — Prove the representation and four export paths</w:t>
      </w:r>
    </w:p>
    <w:p>
      <w:r>
        <w:rPr>
          <w:b w:val="0"/>
          <w:i w:val="0"/>
        </w:rPr>
        <w:t>Hand-author one native snapshot containing prose with fact bindings, a typed table, a simple native pivot, a chart and an image. Give it a precise flow style, an intertwined workbook layout and a two-slide canvas view. Implement only the required core blocks and their view mappings.</w:t>
      </w:r>
    </w:p>
    <w:p>
      <w:r>
        <w:rPr>
          <w:b w:val="0"/>
          <w:i w:val="0"/>
        </w:rPr>
        <w:t>Acceptance: the declared core exports to DOCX, XLSX, PDF and PPTX; required facts agree; coverage is explicit; precision constraints render correctly; and XLSX contains a functional pivot in the target application. A permitted static fallback in another format is reported. No LLM is needed to pass this milestone. Do not build a full universal editor before this fixture works.</w:t>
      </w:r>
    </w:p>
    <w:p>
      <w:pPr>
        <w:pStyle w:val="Heading3"/>
      </w:pPr>
      <w:r>
        <w:rPr>
          <w:b w:val="0"/>
          <w:i w:val="0"/>
        </w:rPr>
        <w:t>Milestone B — Build a deterministic reporting program</w:t>
      </w:r>
    </w:p>
    <w:p>
      <w:r>
        <w:rPr>
          <w:b w:val="0"/>
          <w:i w:val="0"/>
        </w:rPr>
        <w:t>Create immutable source assets, source-role contracts, a small computation SDK, typed artifacts and an executable period-parameterized program. Use synthetic periods with known ground truth and a mixed-format input fixture. Add the minimal workflow runner and sandbox boundary.</w:t>
      </w:r>
    </w:p>
    <w:p>
      <w:r>
        <w:rPr>
          <w:b w:val="0"/>
          <w:i w:val="0"/>
        </w:rPr>
        <w:t>Acceptance: changing periods changes facts correctly; missing comparison data blocks; rows outside scope do not affect totals; restatements create revisions; and all four exports reuse one accepted snapshot. A source update invalidates the correct downstream stages.</w:t>
      </w:r>
    </w:p>
    <w:p>
      <w:pPr>
        <w:pStyle w:val="Heading3"/>
      </w:pPr>
      <w:r>
        <w:rPr>
          <w:b w:val="0"/>
          <w:i w:val="0"/>
        </w:rPr>
        <w:t>Milestone C — Add bounded composition</w:t>
      </w:r>
    </w:p>
    <w:p>
      <w:r>
        <w:rPr>
          <w:b w:val="0"/>
          <w:i w:val="0"/>
        </w:rPr>
        <w:t>Implement exact, computed and composed components, component evidence packets, numeric references, required-claim checks and local repair. Add basic in-app review and snapshot revisioning.</w:t>
      </w:r>
    </w:p>
    <w:p>
      <w:r>
        <w:rPr>
          <w:b w:val="0"/>
          <w:i w:val="0"/>
        </w:rPr>
        <w:t>Acceptance: an unsupported causal explanation is rejected or qualified; exact prose remains exact; facts cannot be silently edited as ordinary text; and downloading a second format does not regenerate narrative.</w:t>
      </w:r>
    </w:p>
    <w:p>
      <w:pPr>
        <w:pStyle w:val="Heading3"/>
      </w:pPr>
      <w:r>
        <w:rPr>
          <w:b w:val="0"/>
          <w:i w:val="0"/>
        </w:rPr>
        <w:t>Milestone D — Learn from one historical case</w:t>
      </w:r>
    </w:p>
    <w:p>
      <w:r>
        <w:rPr>
          <w:b w:val="0"/>
          <w:i w:val="0"/>
        </w:rPr>
        <w:t>Add the learning controller, component acceptance map, source investigation tools, isolated probes and candidate package patches. Start with one report type, not every business domain.</w:t>
      </w:r>
    </w:p>
    <w:p>
      <w:r>
        <w:rPr>
          <w:b w:val="0"/>
          <w:i w:val="0"/>
        </w:rPr>
        <w:t>Acceptance: it reconstructs the example from its permitted sources, identifies at least the deliberately ambiguous policy in the test fixture, generates a new synthetic period through the learned program, and records provisional assumptions. Historical output values are not runtime inputs.</w:t>
      </w:r>
    </w:p>
    <w:p>
      <w:pPr>
        <w:pStyle w:val="Heading3"/>
      </w:pPr>
      <w:r>
        <w:rPr>
          <w:b w:val="0"/>
          <w:i w:val="0"/>
        </w:rPr>
        <w:t>Milestone E — Generalize across examples</w:t>
      </w:r>
    </w:p>
    <w:p>
      <w:r>
        <w:rPr>
          <w:b w:val="0"/>
          <w:i w:val="0"/>
        </w:rPr>
        <w:t>Add example alignment, contradictory-evidence handling, targeted questions, protected holdouts, drift detection and package regression tests. Measure fresh learning runs separately from runtime stability.</w:t>
      </w:r>
    </w:p>
    <w:p>
      <w:r>
        <w:rPr>
          <w:b w:val="0"/>
          <w:i w:val="0"/>
        </w:rPr>
        <w:t>Acceptance: a new example changes only justified rules; a policy change creates the correct version boundary; a held-out period is evaluated without target leakage; and a failed candidate cannot publish itself.</w:t>
      </w:r>
    </w:p>
    <w:p>
      <w:pPr>
        <w:pStyle w:val="Heading3"/>
      </w:pPr>
      <w:r>
        <w:rPr>
          <w:b w:val="0"/>
          <w:i w:val="0"/>
        </w:rPr>
        <w:t>Milestone F — Harden and expand</w:t>
      </w:r>
    </w:p>
    <w:p>
      <w:r>
        <w:rPr>
          <w:b w:val="0"/>
          <w:i w:val="0"/>
        </w:rPr>
        <w:t>Broaden adapters and capability profiles using failure-driven fixtures. Add demanding native Office features only with their tests. Complete sensitive-data export scanning, load/concurrency tests, target-application certification, retention controls and observability.</w:t>
      </w:r>
    </w:p>
    <w:p>
      <w:r>
        <w:rPr>
          <w:b w:val="0"/>
          <w:i w:val="0"/>
        </w:rPr>
        <w:t>Acceptance: declared service limits are measured on the supported corpus; failures are recoverable and attributable; and advertised format capabilities match actual behavior. New adapters conform to the existing snapshot/export contracts.</w:t>
      </w:r>
    </w:p>
    <w:p>
      <w:pPr>
        <w:pStyle w:val="Heading2"/>
      </w:pPr>
      <w:r>
        <w:rPr>
          <w:b w:val="0"/>
          <w:i w:val="0"/>
        </w:rPr>
        <w:t>10. First engineering tickets</w:t>
      </w:r>
    </w:p>
    <w:p>
      <w:r>
        <w:rPr>
          <w:b w:val="0"/>
          <w:i w:val="0"/>
        </w:rPr>
        <w:t>The first implementation slice should create the fact/data/node IDs and schema; a source/artifact registry; a renderer interface and fidelity manifest; a hand-authored mixed-content fixture; three minimal view compilers; and one regression harness. Spike native pivots and precise document indentation in that slice, not at the end.</w:t>
      </w:r>
    </w:p>
    <w:p>
      <w:r>
        <w:rPr>
          <w:b w:val="0"/>
          <w:i w:val="0"/>
        </w:rPr>
        <w:t>After the representation passes, add source binding and deterministic preparation, then composition, and only then autonomous learning. This ordering creates a measurable target for the learner instead of asking it to invent the reporting system and the report at the same time.</w:t>
      </w:r>
    </w:p>
    <w:p>
      <w:pPr>
        <w:pStyle w:val="Heading1"/>
        <w:pageBreakBefore w:val="0"/>
        <w:spacing w:before="460"/>
      </w:pPr>
      <w:r>
        <w:rPr>
          <w:b w:val="0"/>
          <w:i w:val="0"/>
        </w:rPr>
        <w:t>06 · Worked example and contract fixture</w:t>
      </w:r>
    </w:p>
    <w:p>
      <w:pPr>
        <w:pStyle w:val="Heading2"/>
      </w:pPr>
      <w:r>
        <w:rPr>
          <w:b w:val="0"/>
          <w:i w:val="0"/>
        </w:rPr>
        <w:t>1. Purpose</w:t>
      </w:r>
    </w:p>
    <w:p>
      <w:r>
        <w:rPr>
          <w:b w:val="0"/>
          <w:i w:val="0"/>
        </w:rPr>
        <w:t>The included example is synthetic and deliberately small. It demonstrates shared facts, linked data, prose bindings, a pivot definition and three presentation views. It is not a benchmark and does not implement the renderer or learning controller. The validation harness checks schemas and selected cross-artifact invariants; it does not certify Office output or natural-language truth.</w:t>
      </w:r>
    </w:p>
    <w:p>
      <w:r>
        <w:rPr>
          <w:b w:val="0"/>
          <w:i w:val="0"/>
        </w:rPr>
        <w:t>The historical task would be to learn a quarterly regional sales report. Its reporting rule is to include posted transactions in the requested date interval, compare against the explicitly bound prior-year interval, and describe the largest absolute regional contribution to growth. Currency values use exact decimal arithmetic.</w:t>
      </w:r>
    </w:p>
    <w:p>
      <w:pPr>
        <w:pStyle w:val="Heading2"/>
      </w:pPr>
      <w:r>
        <w:rPr>
          <w:b w:val="0"/>
          <w:i w:val="0"/>
        </w:rPr>
        <w:t>2. Source data and accepted facts</w:t>
      </w:r>
    </w:p>
    <w:p>
      <w:r>
        <w:rPr>
          <w:rFonts w:ascii="DejaVu Sans Mono" w:hAnsi="DejaVu Sans Mono"/>
          <w:b w:val="0"/>
          <w:i w:val="0"/>
          <w:sz w:val="17"/>
        </w:rPr>
        <w:t>examples/transactions.csv</w:t>
      </w:r>
      <w:r>
        <w:rPr>
          <w:b w:val="0"/>
          <w:i w:val="0"/>
        </w:rPr>
        <w:t xml:space="preserve"> contains synthetic transactions for Q1 2025 and Q1 2026, plus a cancelled record and a record outside the current reporting interval. </w:t>
      </w:r>
      <w:r>
        <w:rPr>
          <w:rFonts w:ascii="DejaVu Sans Mono" w:hAnsi="DejaVu Sans Mono"/>
          <w:b w:val="0"/>
          <w:i w:val="0"/>
          <w:sz w:val="17"/>
        </w:rPr>
        <w:t>examples/regional_totals.csv</w:t>
      </w:r>
      <w:r>
        <w:rPr>
          <w:b w:val="0"/>
          <w:i w:val="0"/>
        </w:rPr>
        <w:t xml:space="preserve"> holds the derived current/prior amounts by region. </w:t>
      </w:r>
      <w:r>
        <w:rPr>
          <w:rFonts w:ascii="DejaVu Sans Mono" w:hAnsi="DejaVu Sans Mono"/>
          <w:b w:val="0"/>
          <w:i w:val="0"/>
          <w:sz w:val="17"/>
        </w:rPr>
        <w:t>examples/pivot_source.csv</w:t>
      </w:r>
      <w:r>
        <w:rPr>
          <w:b w:val="0"/>
          <w:i w:val="0"/>
        </w:rPr>
        <w:t xml:space="preserve"> contains the approved aggregate data that may be embedded in an editable workbook pivot; it does not include transaction identifiers.</w:t>
      </w:r>
    </w:p>
    <w:p>
      <w:r>
        <w:rPr>
          <w:b w:val="0"/>
          <w:i w:val="0"/>
        </w:rPr>
        <w:t>The expected posted totals are EUR 1,000.00 for Q1 2025 and EUR 1,200.00 for Q1 2026. Growth is therefore 20.0%. North contributes EUR 100.00 of the EUR 200.00 increase; South and West each contribute EUR 50.00. These are fixture calculations, not external factual claims.</w:t>
      </w:r>
    </w:p>
    <w:p>
      <w:r>
        <w:rPr>
          <w:b w:val="0"/>
          <w:i w:val="0"/>
        </w:rPr>
        <w:t xml:space="preserve">A numeric paragraph is stored as rich-text runs: literal text, a reference to </w:t>
      </w:r>
      <w:r>
        <w:rPr>
          <w:rFonts w:ascii="DejaVu Sans Mono" w:hAnsi="DejaVu Sans Mono"/>
          <w:b w:val="0"/>
          <w:i w:val="0"/>
          <w:sz w:val="17"/>
        </w:rPr>
        <w:t>revenue.current</w:t>
      </w:r>
      <w:r>
        <w:rPr>
          <w:b w:val="0"/>
          <w:i w:val="0"/>
        </w:rPr>
        <w:t xml:space="preserve">, more text, and a reference to </w:t>
      </w:r>
      <w:r>
        <w:rPr>
          <w:rFonts w:ascii="DejaVu Sans Mono" w:hAnsi="DejaVu Sans Mono"/>
          <w:b w:val="0"/>
          <w:i w:val="0"/>
          <w:sz w:val="17"/>
        </w:rPr>
        <w:t>revenue.growth</w:t>
      </w:r>
      <w:r>
        <w:rPr>
          <w:b w:val="0"/>
          <w:i w:val="0"/>
        </w:rPr>
        <w:t xml:space="preserve">. The display value “20.0%” is a formatting of the ratio </w:t>
      </w:r>
      <w:r>
        <w:rPr>
          <w:rFonts w:ascii="DejaVu Sans Mono" w:hAnsi="DejaVu Sans Mono"/>
          <w:b w:val="0"/>
          <w:i w:val="0"/>
          <w:sz w:val="17"/>
        </w:rPr>
        <w:t>0.2</w:t>
      </w:r>
      <w:r>
        <w:rPr>
          <w:b w:val="0"/>
          <w:i w:val="0"/>
        </w:rPr>
        <w:t>, not a separate manually entered fact. The paragraph also names North and references its computed EUR 100.00 contribution and the EUR 200.00 total change. A composed interpretation would need additional evidence and claim checking; the fixture does not invent one.</w:t>
      </w:r>
    </w:p>
    <w:p>
      <w:pPr>
        <w:pStyle w:val="Heading2"/>
      </w:pPr>
      <w:r>
        <w:rPr>
          <w:b w:val="0"/>
          <w:i w:val="0"/>
        </w:rPr>
        <w:t>3. One content graph, three views</w:t>
      </w:r>
    </w:p>
    <w:p>
      <w:r>
        <w:rPr>
          <w:b w:val="0"/>
          <w:i w:val="0"/>
        </w:rPr>
        <w:t>The root section contains a summary, regional table, regional chart and pivot. The flow view presents them in sequence and permits the pivot as a static result. The grid view places the summary before the table on one sheet and the native pivot and chart on another. The canvas view distributes the same required content across two slides.</w:t>
      </w:r>
    </w:p>
    <w:p>
      <w:r>
        <w:rPr>
          <w:b w:val="0"/>
          <w:i w:val="0"/>
        </w:rPr>
        <w:t>Those views do not contain independently recalculated revenues. They reference the same node IDs and data artifacts. A production compiler would allocate actual row/column extents, document positions and slide shapes, then verify the output. The example's placements are recipe data, not proof that a renderer has laid them out.</w:t>
      </w:r>
    </w:p>
    <w:p>
      <w:r>
        <w:rPr>
          <w:b w:val="0"/>
          <w:i w:val="0"/>
        </w:rPr>
        <w:t>The pivot stores rows by region, columns by comparison period and a sum measure. Its source is the approved aggregate dataset. Native interaction is required in the grid view. Static presentation is allowed in flow and canvas views. This makes the difference between a pivot object and a displayed pivot result explicit.</w:t>
      </w:r>
    </w:p>
    <w:p>
      <w:pPr>
        <w:pStyle w:val="Heading2"/>
      </w:pPr>
      <w:r>
        <w:rPr>
          <w:b w:val="0"/>
          <w:i w:val="0"/>
        </w:rPr>
        <w:t>4. Why the source used for a pivot matters</w:t>
      </w:r>
    </w:p>
    <w:p>
      <w:r>
        <w:rPr>
          <w:b w:val="0"/>
          <w:i w:val="0"/>
        </w:rPr>
        <w:t>A workbook pivot can expose the data embedded for its operation. The fixture therefore uses a reduced approved source dataset. This still allows the demonstrated region/period rearrangement, but does not promise transaction-level drill-down. A product that needs transaction drill-down must authorize and embed that richer dataset explicitly.</w:t>
      </w:r>
    </w:p>
    <w:p>
      <w:r>
        <w:rPr>
          <w:b w:val="0"/>
          <w:i w:val="0"/>
        </w:rPr>
        <w:t>The same principle applies to native charts with embedded workbooks. An exporter must not attach a confidential source file merely because that is the easiest way to preserve editability.</w:t>
      </w:r>
    </w:p>
    <w:p>
      <w:pPr>
        <w:pStyle w:val="Heading2"/>
      </w:pPr>
      <w:r>
        <w:rPr>
          <w:b w:val="0"/>
          <w:i w:val="0"/>
        </w:rPr>
        <w:t>5. Example export manifest</w:t>
      </w:r>
    </w:p>
    <w:p>
      <w:r>
        <w:rPr>
          <w:rFonts w:ascii="DejaVu Sans Mono" w:hAnsi="DejaVu Sans Mono"/>
          <w:b w:val="0"/>
          <w:i w:val="0"/>
          <w:sz w:val="17"/>
        </w:rPr>
        <w:t>examples/export_manifest.json</w:t>
      </w:r>
      <w:r>
        <w:rPr>
          <w:b w:val="0"/>
          <w:i w:val="0"/>
        </w:rPr>
        <w:t xml:space="preserve"> is explicitly a </w:t>
      </w:r>
      <w:r>
        <w:rPr>
          <w:b/>
          <w:i w:val="0"/>
        </w:rPr>
        <w:t>planned</w:t>
      </w:r>
      <w:r>
        <w:rPr>
          <w:b w:val="0"/>
          <w:i w:val="0"/>
        </w:rPr>
        <w:t xml:space="preserve"> export manifest, not a record of generated files. It maps the core nodes to prospective worksheet locations and declares their representations. The snapshot and view are identified, required coverage is listed and no fabricated XLSX artifact is supplied.</w:t>
      </w:r>
    </w:p>
    <w:p>
      <w:r>
        <w:rPr>
          <w:b w:val="0"/>
          <w:i w:val="0"/>
        </w:rPr>
        <w:t xml:space="preserve">An actual renderer would move the manifest to </w:t>
      </w:r>
      <w:r>
        <w:rPr>
          <w:rFonts w:ascii="DejaVu Sans Mono" w:hAnsi="DejaVu Sans Mono"/>
          <w:b w:val="0"/>
          <w:i w:val="0"/>
          <w:sz w:val="17"/>
        </w:rPr>
        <w:t>verified</w:t>
      </w:r>
      <w:r>
        <w:rPr>
          <w:b w:val="0"/>
          <w:i w:val="0"/>
        </w:rPr>
        <w:t xml:space="preserve"> only after producing and checking a real artifact. The schema requires an artifact identity and validation results for that state. A required unsupported pivot must keep the export blocked.</w:t>
      </w:r>
    </w:p>
    <w:p>
      <w:pPr>
        <w:pStyle w:val="Heading2"/>
      </w:pPr>
      <w:r>
        <w:rPr>
          <w:b w:val="0"/>
          <w:i w:val="0"/>
        </w:rPr>
        <w:t>6. Tests included</w:t>
      </w:r>
    </w:p>
    <w:p>
      <w:r>
        <w:rPr>
          <w:b w:val="0"/>
          <w:i w:val="0"/>
        </w:rPr>
        <w:t>The harness validates the positive snapshot and planned export manifest, checks dataset digests and row counts, recomputes fixture totals, resolves references, verifies view coverage and validates interval ordering. It also exercises invalid inputs such as unknown fact references, invalid decimal values, reversed periods, missing coverage, an unapproved required fallback and a “verified” manifest without an artifact.</w:t>
      </w:r>
    </w:p>
    <w:p>
      <w:r>
        <w:rPr>
          <w:b w:val="0"/>
          <w:i w:val="0"/>
        </w:rPr>
        <w:t>Run it with the command in the repository README. Passing these checks establishes internal consistency of this small contract fixture only. The full application additionally needs parser tests, source-binding tests, semantic narrative evaluation, actual renderers, security controls and target-application behavior tests.</w:t>
      </w:r>
    </w:p>
    <w:p>
      <w:pPr>
        <w:pStyle w:val="Heading2"/>
      </w:pPr>
      <w:r>
        <w:rPr>
          <w:b w:val="0"/>
          <w:i w:val="0"/>
        </w:rPr>
        <w:t>7. Turning this into the first implementation</w:t>
      </w:r>
    </w:p>
    <w:p>
      <w:r>
        <w:rPr>
          <w:b w:val="0"/>
          <w:i w:val="0"/>
        </w:rPr>
        <w:t xml:space="preserve">Implement </w:t>
      </w:r>
      <w:r>
        <w:rPr>
          <w:rFonts w:ascii="DejaVu Sans Mono" w:hAnsi="DejaVu Sans Mono"/>
          <w:b w:val="0"/>
          <w:i w:val="0"/>
          <w:sz w:val="17"/>
        </w:rPr>
        <w:t>prepare</w:t>
      </w:r>
      <w:r>
        <w:rPr>
          <w:b w:val="0"/>
          <w:i w:val="0"/>
        </w:rPr>
        <w:t xml:space="preserve"> to produce the example's typed data and facts from bound inputs. Implement </w:t>
      </w:r>
      <w:r>
        <w:rPr>
          <w:rFonts w:ascii="DejaVu Sans Mono" w:hAnsi="DejaVu Sans Mono"/>
          <w:b w:val="0"/>
          <w:i w:val="0"/>
          <w:sz w:val="17"/>
        </w:rPr>
        <w:t>compose</w:t>
      </w:r>
      <w:r>
        <w:rPr>
          <w:b w:val="0"/>
          <w:i w:val="0"/>
        </w:rPr>
        <w:t xml:space="preserve"> to resolve exact/computed text and obtain any evidence-grounded narrative. Freeze the snapshot. Implement </w:t>
      </w:r>
      <w:r>
        <w:rPr>
          <w:rFonts w:ascii="DejaVu Sans Mono" w:hAnsi="DejaVu Sans Mono"/>
          <w:b w:val="0"/>
          <w:i w:val="0"/>
          <w:sz w:val="17"/>
        </w:rPr>
        <w:t>plan_export</w:t>
      </w:r>
      <w:r>
        <w:rPr>
          <w:b w:val="0"/>
          <w:i w:val="0"/>
        </w:rPr>
        <w:t xml:space="preserve"> to negotiate capabilities, followed by </w:t>
      </w:r>
      <w:r>
        <w:rPr>
          <w:rFonts w:ascii="DejaVu Sans Mono" w:hAnsi="DejaVu Sans Mono"/>
          <w:b w:val="0"/>
          <w:i w:val="0"/>
          <w:sz w:val="17"/>
        </w:rPr>
        <w:t>render</w:t>
      </w:r>
      <w:r>
        <w:rPr>
          <w:b w:val="0"/>
          <w:i w:val="0"/>
        </w:rPr>
        <w:t xml:space="preserve"> and </w:t>
      </w:r>
      <w:r>
        <w:rPr>
          <w:rFonts w:ascii="DejaVu Sans Mono" w:hAnsi="DejaVu Sans Mono"/>
          <w:b w:val="0"/>
          <w:i w:val="0"/>
          <w:sz w:val="17"/>
        </w:rPr>
        <w:t>verify_export</w:t>
      </w:r>
      <w:r>
        <w:rPr>
          <w:b w:val="0"/>
          <w:i w:val="0"/>
        </w:rPr>
        <w:t xml:space="preserve"> to produce real artifacts.</w:t>
      </w:r>
    </w:p>
    <w:p>
      <w:r>
        <w:rPr>
          <w:b w:val="0"/>
          <w:i w:val="0"/>
        </w:rPr>
        <w:t>Only after that deterministic fixture succeeds should the learning controller attempt to infer the source bindings, calculations, content policies and view recipes from historical examples. It then writes toward a concrete target rather than inventing another informal blueprint language.</w:t>
      </w:r>
    </w:p>
    <w:p>
      <w:pPr>
        <w:pStyle w:val="Heading1"/>
        <w:pageBreakBefore/>
      </w:pPr>
      <w:r>
        <w:rPr>
          <w:b w:val="0"/>
          <w:i w:val="0"/>
        </w:rPr>
        <w:t>07 · Research notes and source register</w:t>
      </w:r>
    </w:p>
    <w:p>
      <w:r>
        <w:rPr>
          <w:b w:val="0"/>
          <w:i w:val="0"/>
        </w:rPr>
        <w:t>Sources checked on 8 September 2026. These are primary documentation or research sources. They support specific capability statements and constraints; they do not validate the proposed system's end-to-end performance. Recommendations elsewhere in this pack are design decisions unless stated otherwise.</w:t>
      </w:r>
    </w:p>
    <w:p>
      <w:pPr>
        <w:keepNext/>
      </w:pPr>
      <w:r>
        <w:rPr>
          <w:b w:val="0"/>
          <w:i w:val="0"/>
        </w:rPr>
      </w:r>
      <w:r>
        <w:rPr>
          <w:b/>
          <w:i w:val="0"/>
        </w:rPr>
        <w:t>[S01] Pandoc — User's Guide, description of the intermediate representation.</w:t>
      </w:r>
      <w:r>
        <w:rPr>
          <w:b w:val="0"/>
          <w:i w:val="0"/>
        </w:rPr>
        <w:t xml:space="preserve"> Supports the distinction between modular readers/writers and lossy conversion through an insufficiently expressive model. It does not establish that this proposed model is complete.</w:t>
      </w:r>
    </w:p>
    <w:p>
      <w:pPr>
        <w:pStyle w:val="SourceURL"/>
        <w:keepNext w:val="0"/>
      </w:pPr>
      <w:hyperlink r:id="rId11">
        <w:r>
          <w:rPr>
            <w:color w:val="147D83"/>
            <w:sz w:val="17"/>
          </w:rPr>
          <w:t>https://pandoc.org/MANUAL.html</w:t>
        </w:r>
      </w:hyperlink>
    </w:p>
    <w:p>
      <w:pPr>
        <w:keepNext/>
      </w:pPr>
      <w:r>
        <w:rPr>
          <w:b w:val="0"/>
          <w:i w:val="0"/>
        </w:rPr>
      </w:r>
      <w:r>
        <w:rPr>
          <w:b/>
          <w:i w:val="0"/>
        </w:rPr>
        <w:t>[S02] Docling — Docling document.</w:t>
      </w:r>
      <w:r>
        <w:rPr>
          <w:b w:val="0"/>
          <w:i w:val="0"/>
        </w:rPr>
        <w:t xml:space="preserve"> Documents a unified input representation with text, tables, pictures, hierarchy, layout where available and provenance. Used as a candidate input-normalization component, not evidence of universal Office round-tripping.</w:t>
      </w:r>
    </w:p>
    <w:p>
      <w:pPr>
        <w:pStyle w:val="SourceURL"/>
        <w:keepNext w:val="0"/>
      </w:pPr>
      <w:hyperlink r:id="rId12">
        <w:r>
          <w:rPr>
            <w:color w:val="147D83"/>
            <w:sz w:val="17"/>
          </w:rPr>
          <w:t>https://docling-project.github.io/docling/concepts/docling_document/</w:t>
        </w:r>
      </w:hyperlink>
    </w:p>
    <w:p>
      <w:pPr>
        <w:keepNext/>
      </w:pPr>
      <w:r>
        <w:rPr>
          <w:b w:val="0"/>
          <w:i w:val="0"/>
        </w:rPr>
      </w:r>
      <w:r>
        <w:rPr>
          <w:b/>
          <w:i w:val="0"/>
        </w:rPr>
        <w:t>[S03] pandas — pandas.read_excel.</w:t>
      </w:r>
      <w:r>
        <w:rPr>
          <w:b w:val="0"/>
          <w:i w:val="0"/>
        </w:rPr>
        <w:t xml:space="preserve"> Documents supported file families and engines, including calamine and legacy Excel readers. This is tabular value-reading support, not complete structural or visual preservation.</w:t>
      </w:r>
    </w:p>
    <w:p>
      <w:pPr>
        <w:pStyle w:val="SourceURL"/>
        <w:keepNext w:val="0"/>
      </w:pPr>
      <w:hyperlink r:id="rId13">
        <w:r>
          <w:rPr>
            <w:color w:val="147D83"/>
            <w:sz w:val="17"/>
          </w:rPr>
          <w:t>https://pandas.pydata.org/docs/reference/api/pandas.read_excel.html</w:t>
        </w:r>
      </w:hyperlink>
    </w:p>
    <w:p>
      <w:pPr>
        <w:keepNext/>
      </w:pPr>
      <w:r>
        <w:rPr>
          <w:b w:val="0"/>
          <w:i w:val="0"/>
        </w:rPr>
      </w:r>
      <w:r>
        <w:rPr>
          <w:b/>
          <w:i w:val="0"/>
        </w:rPr>
        <w:t>[S04] Microsoft Learn — Working with PivotTables.</w:t>
      </w:r>
      <w:r>
        <w:rPr>
          <w:b w:val="0"/>
          <w:i w:val="0"/>
        </w:rPr>
        <w:t xml:space="preserve"> Describes SpreadsheetML pivot definitions, caches, records and displayed cells. Supports treating native pivot behavior as more than an aggregate table.</w:t>
      </w:r>
    </w:p>
    <w:p>
      <w:pPr>
        <w:pStyle w:val="SourceURL"/>
        <w:keepNext w:val="0"/>
      </w:pPr>
      <w:hyperlink r:id="rId14">
        <w:r>
          <w:rPr>
            <w:color w:val="147D83"/>
            <w:sz w:val="17"/>
          </w:rPr>
          <w:t>https://learn.microsoft.com/en-us/office/open-xml/spreadsheet/working-with-pivottables</w:t>
        </w:r>
      </w:hyperlink>
    </w:p>
    <w:p>
      <w:pPr>
        <w:keepNext/>
      </w:pPr>
      <w:r>
        <w:rPr>
          <w:b w:val="0"/>
          <w:i w:val="0"/>
        </w:rPr>
      </w:r>
      <w:r>
        <w:rPr>
          <w:b/>
          <w:i w:val="0"/>
        </w:rPr>
        <w:t>[S05] openpyxl — Pivot Tables.</w:t>
      </w:r>
      <w:r>
        <w:rPr>
          <w:b w:val="0"/>
          <w:i w:val="0"/>
        </w:rPr>
        <w:t xml:space="preserve"> Describes preservation/read support and manipulation of existing pivots; explicitly does not offer a general intended client interface for creating them. Supports an early native-pivot implementation spike.</w:t>
      </w:r>
    </w:p>
    <w:p>
      <w:pPr>
        <w:pStyle w:val="SourceURL"/>
        <w:keepNext w:val="0"/>
      </w:pPr>
      <w:hyperlink r:id="rId15">
        <w:r>
          <w:rPr>
            <w:color w:val="147D83"/>
            <w:sz w:val="17"/>
          </w:rPr>
          <w:t>https://openpyxl.readthedocs.io/en/stable/pivot.html</w:t>
        </w:r>
      </w:hyperlink>
    </w:p>
    <w:p>
      <w:pPr>
        <w:keepNext/>
      </w:pPr>
      <w:r>
        <w:rPr>
          <w:b w:val="0"/>
          <w:i w:val="0"/>
        </w:rPr>
      </w:r>
      <w:r>
        <w:rPr>
          <w:b/>
          <w:i w:val="0"/>
        </w:rPr>
        <w:t>[S06] XlsxWriter — Working with Formulas.</w:t>
      </w:r>
      <w:r>
        <w:rPr>
          <w:b w:val="0"/>
          <w:i w:val="0"/>
        </w:rPr>
        <w:t xml:space="preserve"> Documents non-evaluation of formulas and the optional supplied cached result. Supports explicit calculation/caching policies rather than relying on a refresh-on-open flag.</w:t>
      </w:r>
    </w:p>
    <w:p>
      <w:pPr>
        <w:pStyle w:val="SourceURL"/>
        <w:keepNext w:val="0"/>
      </w:pPr>
      <w:hyperlink r:id="rId16">
        <w:r>
          <w:rPr>
            <w:color w:val="147D83"/>
            <w:sz w:val="17"/>
          </w:rPr>
          <w:t>https://xlsxwriter.readthedocs.io/working_with_formulas.html</w:t>
        </w:r>
      </w:hyperlink>
    </w:p>
    <w:p>
      <w:pPr>
        <w:keepNext/>
      </w:pPr>
      <w:r>
        <w:rPr>
          <w:b w:val="0"/>
          <w:i w:val="0"/>
        </w:rPr>
      </w:r>
      <w:r>
        <w:rPr>
          <w:b/>
          <w:i w:val="0"/>
        </w:rPr>
        <w:t>[S07] DuckDB — Tuning Workloads.</w:t>
      </w:r>
      <w:r>
        <w:rPr>
          <w:b w:val="0"/>
          <w:i w:val="0"/>
        </w:rPr>
        <w:t xml:space="preserve"> Discusses resource configuration, larger-than-memory processing and relevant limitations. Supports evaluating DuckDB for staged analytical preparation, not an unlimited-data claim.</w:t>
      </w:r>
    </w:p>
    <w:p>
      <w:pPr>
        <w:pStyle w:val="SourceURL"/>
        <w:keepNext w:val="0"/>
      </w:pPr>
      <w:hyperlink r:id="rId17">
        <w:r>
          <w:rPr>
            <w:color w:val="147D83"/>
            <w:sz w:val="17"/>
          </w:rPr>
          <w:t>https://duckdb.org/docs/current/guides/performance/how_to_tune_workloads</w:t>
        </w:r>
      </w:hyperlink>
    </w:p>
    <w:p>
      <w:pPr>
        <w:keepNext/>
      </w:pPr>
      <w:r>
        <w:rPr>
          <w:b w:val="0"/>
          <w:i w:val="0"/>
        </w:rPr>
      </w:r>
      <w:r>
        <w:rPr>
          <w:b/>
          <w:i w:val="0"/>
        </w:rPr>
        <w:t>[S08] DuckDB — CSV Auto Detection.</w:t>
      </w:r>
      <w:r>
        <w:rPr>
          <w:b w:val="0"/>
          <w:i w:val="0"/>
        </w:rPr>
        <w:t xml:space="preserve"> Documents dialect/type inference and sniffing controls. Supports storing an accepted parse contract rather than silently re-inferring production inputs.</w:t>
      </w:r>
    </w:p>
    <w:p>
      <w:pPr>
        <w:pStyle w:val="SourceURL"/>
        <w:keepNext w:val="0"/>
      </w:pPr>
      <w:hyperlink r:id="rId18">
        <w:r>
          <w:rPr>
            <w:color w:val="147D83"/>
            <w:sz w:val="17"/>
          </w:rPr>
          <w:t>https://duckdb.org/docs/current/data/csv/auto_detection</w:t>
        </w:r>
      </w:hyperlink>
    </w:p>
    <w:p>
      <w:pPr>
        <w:keepNext/>
      </w:pPr>
      <w:r>
        <w:rPr>
          <w:b w:val="0"/>
          <w:i w:val="0"/>
        </w:rPr>
      </w:r>
      <w:r>
        <w:rPr>
          <w:b/>
          <w:i w:val="0"/>
        </w:rPr>
        <w:t>[S09] python-docx — Working with Text.</w:t>
      </w:r>
      <w:r>
        <w:rPr>
          <w:b w:val="0"/>
          <w:i w:val="0"/>
        </w:rPr>
        <w:t xml:space="preserve"> Documents paragraph indentation, spacing and pagination-related properties. Supports basic precision controls, not fidelity for arbitrary imported Word documents.</w:t>
      </w:r>
    </w:p>
    <w:p>
      <w:pPr>
        <w:pStyle w:val="SourceURL"/>
        <w:keepNext w:val="0"/>
      </w:pPr>
      <w:hyperlink r:id="rId19">
        <w:r>
          <w:rPr>
            <w:color w:val="147D83"/>
            <w:sz w:val="17"/>
          </w:rPr>
          <w:t>https://python-docx.readthedocs.io/en/latest/user/text.html</w:t>
        </w:r>
      </w:hyperlink>
    </w:p>
    <w:p>
      <w:pPr>
        <w:keepNext/>
      </w:pPr>
      <w:r>
        <w:rPr>
          <w:b w:val="0"/>
          <w:i w:val="0"/>
        </w:rPr>
      </w:r>
      <w:r>
        <w:rPr>
          <w:b/>
          <w:i w:val="0"/>
        </w:rPr>
        <w:t>[S10] python-pptx — Working with charts.</w:t>
      </w:r>
      <w:r>
        <w:rPr>
          <w:b w:val="0"/>
          <w:i w:val="0"/>
        </w:rPr>
        <w:t xml:space="preserve"> Documents native chart construction and configuration for supported types. Does not imply support for every Excel/PowerPoint chart combination.</w:t>
      </w:r>
    </w:p>
    <w:p>
      <w:pPr>
        <w:pStyle w:val="SourceURL"/>
        <w:keepNext w:val="0"/>
      </w:pPr>
      <w:hyperlink r:id="rId20">
        <w:r>
          <w:rPr>
            <w:color w:val="147D83"/>
            <w:sz w:val="17"/>
          </w:rPr>
          <w:t>https://python-pptx.readthedocs.io/en/latest/user/charts.html</w:t>
        </w:r>
      </w:hyperlink>
    </w:p>
    <w:p>
      <w:pPr>
        <w:keepNext/>
      </w:pPr>
      <w:r>
        <w:rPr>
          <w:b w:val="0"/>
          <w:i w:val="0"/>
        </w:rPr>
      </w:r>
      <w:r>
        <w:rPr>
          <w:b/>
          <w:i w:val="0"/>
        </w:rPr>
        <w:t>[S11] Playwright — Page.pdf.</w:t>
      </w:r>
      <w:r>
        <w:rPr>
          <w:b w:val="0"/>
          <w:i w:val="0"/>
        </w:rPr>
        <w:t xml:space="preserve"> Documents PDF generation with print CSS and output options. Supports the proposed native-view PDF path; does not imply identical pagination to Office renderers.</w:t>
      </w:r>
    </w:p>
    <w:p>
      <w:pPr>
        <w:pStyle w:val="SourceURL"/>
        <w:keepNext w:val="0"/>
      </w:pPr>
      <w:hyperlink r:id="rId21">
        <w:r>
          <w:rPr>
            <w:color w:val="147D83"/>
            <w:sz w:val="17"/>
          </w:rPr>
          <w:t>https://playwright.dev/docs/api/class-page#page-pdf</w:t>
        </w:r>
      </w:hyperlink>
    </w:p>
    <w:p>
      <w:pPr>
        <w:keepNext/>
      </w:pPr>
      <w:r>
        <w:rPr>
          <w:b w:val="0"/>
          <w:i w:val="0"/>
        </w:rPr>
      </w:r>
      <w:r>
        <w:rPr>
          <w:b/>
          <w:i w:val="0"/>
        </w:rPr>
        <w:t>[S12] W3C — CSS Fragmentation Module Level 3.</w:t>
      </w:r>
      <w:r>
        <w:rPr>
          <w:b w:val="0"/>
          <w:i w:val="0"/>
        </w:rPr>
        <w:t xml:space="preserve"> Specifies fragmentation and break behavior. Supports explicit pagination constraints rather than treating a long web page as a finished report.</w:t>
      </w:r>
    </w:p>
    <w:p>
      <w:pPr>
        <w:pStyle w:val="SourceURL"/>
        <w:keepNext w:val="0"/>
      </w:pPr>
      <w:hyperlink r:id="rId22">
        <w:r>
          <w:rPr>
            <w:color w:val="147D83"/>
            <w:sz w:val="17"/>
          </w:rPr>
          <w:t>https://www.w3.org/TR/css-break-3/</w:t>
        </w:r>
      </w:hyperlink>
    </w:p>
    <w:p>
      <w:pPr>
        <w:keepNext/>
      </w:pPr>
      <w:r>
        <w:rPr>
          <w:b w:val="0"/>
          <w:i w:val="0"/>
        </w:rPr>
      </w:r>
      <w:r>
        <w:rPr>
          <w:b/>
          <w:i w:val="0"/>
        </w:rPr>
        <w:t>[S13] Anthropic — Building effective agents.</w:t>
      </w:r>
      <w:r>
        <w:rPr>
          <w:b w:val="0"/>
          <w:i w:val="0"/>
        </w:rPr>
        <w:t xml:space="preserve"> Used for its conceptual distinction between predefined workflows and agent-directed processes, and the recommendation to keep architectures simple. The article itself flags changes in the tooling landscape; this design does not adopt its historical tool list as a current benchmark.</w:t>
      </w:r>
    </w:p>
    <w:p>
      <w:pPr>
        <w:pStyle w:val="SourceURL"/>
        <w:keepNext w:val="0"/>
      </w:pPr>
      <w:hyperlink r:id="rId23">
        <w:r>
          <w:rPr>
            <w:color w:val="147D83"/>
            <w:sz w:val="17"/>
          </w:rPr>
          <w:t>https://www.anthropic.com/engineering/building-effective-agents</w:t>
        </w:r>
      </w:hyperlink>
    </w:p>
    <w:p>
      <w:pPr>
        <w:keepNext/>
      </w:pPr>
      <w:r>
        <w:rPr>
          <w:b w:val="0"/>
          <w:i w:val="0"/>
        </w:rPr>
      </w:r>
      <w:r>
        <w:rPr>
          <w:b/>
          <w:i w:val="0"/>
        </w:rPr>
        <w:t>[S14] Microsoft Research — User Interaction Models for Disambiguation in Programming by Example.</w:t>
      </w:r>
      <w:r>
        <w:rPr>
          <w:b w:val="0"/>
          <w:i w:val="0"/>
        </w:rPr>
        <w:t xml:space="preserve"> Supports asking targeted questions to distinguish candidate programs consistent with the same examples. It does not solve arbitrary reporting-policy inference automatically.</w:t>
      </w:r>
    </w:p>
    <w:p>
      <w:pPr>
        <w:pStyle w:val="SourceURL"/>
        <w:keepNext w:val="0"/>
      </w:pPr>
      <w:hyperlink r:id="rId24">
        <w:r>
          <w:rPr>
            <w:color w:val="147D83"/>
            <w:sz w:val="17"/>
          </w:rPr>
          <w:t>https://www.microsoft.com/en-us/research/publication/user-interaction-models-for-disambiguation-in-programming-by-example/</w:t>
        </w:r>
      </w:hyperlink>
    </w:p>
    <w:p>
      <w:pPr>
        <w:keepNext/>
      </w:pPr>
      <w:r>
        <w:rPr>
          <w:b w:val="0"/>
          <w:i w:val="0"/>
        </w:rPr>
      </w:r>
      <w:r>
        <w:rPr>
          <w:b/>
          <w:i w:val="0"/>
        </w:rPr>
        <w:t>[S15] Anthropic — Demystifying evals for AI agents.</w:t>
      </w:r>
      <w:r>
        <w:rPr>
          <w:b w:val="0"/>
          <w:i w:val="0"/>
        </w:rPr>
        <w:t xml:space="preserve"> Supports separating grader types and assessing repeated-run reliability. The specific report acceptance gates in this pack are proposed application-specific criteria.</w:t>
      </w:r>
    </w:p>
    <w:p>
      <w:pPr>
        <w:pStyle w:val="SourceURL"/>
        <w:keepNext w:val="0"/>
      </w:pPr>
      <w:hyperlink r:id="rId25">
        <w:r>
          <w:rPr>
            <w:color w:val="147D83"/>
            <w:sz w:val="17"/>
          </w:rPr>
          <w:t>https://www.anthropic.com/engineering/demystifying-evals-for-ai-agents</w:t>
        </w:r>
      </w:hyperlink>
    </w:p>
    <w:p>
      <w:pPr>
        <w:keepNext/>
      </w:pPr>
      <w:r>
        <w:rPr>
          <w:b w:val="0"/>
          <w:i w:val="0"/>
        </w:rPr>
      </w:r>
      <w:r>
        <w:rPr>
          <w:b/>
          <w:i w:val="0"/>
        </w:rPr>
        <w:t>[S16] OWASP — LLM Prompt Injection Prevention Cheat Sheet.</w:t>
      </w:r>
      <w:r>
        <w:rPr>
          <w:b w:val="0"/>
          <w:i w:val="0"/>
        </w:rPr>
        <w:t xml:space="preserve"> Supports treating external documents as an indirect-injection surface and using layered defensive boundaries. No individual filter or prompt is described here as a complete defense.</w:t>
      </w:r>
    </w:p>
    <w:p>
      <w:pPr>
        <w:pStyle w:val="SourceURL"/>
        <w:keepNext w:val="0"/>
      </w:pPr>
      <w:hyperlink r:id="rId26">
        <w:r>
          <w:rPr>
            <w:color w:val="147D83"/>
            <w:sz w:val="17"/>
          </w:rPr>
          <w:t>https://cheatsheetseries.owasp.org/cheatsheets/LLM_Prompt_Injection_Prevention_Cheat_Sheet.html</w:t>
        </w:r>
      </w:hyperlink>
    </w:p>
    <w:p>
      <w:pPr>
        <w:keepNext/>
      </w:pPr>
      <w:r>
        <w:rPr>
          <w:b w:val="0"/>
          <w:i w:val="0"/>
        </w:rPr>
      </w:r>
      <w:r>
        <w:rPr>
          <w:b/>
          <w:i w:val="0"/>
        </w:rPr>
        <w:t>[S17] gVisor — What is gVisor?</w:t>
      </w:r>
      <w:r>
        <w:rPr>
          <w:b w:val="0"/>
          <w:i w:val="0"/>
        </w:rPr>
        <w:t xml:space="preserve"> Documents the application-kernel isolation approach, integration and tradeoffs. It is an evaluated sandbox candidate, not a security guarantee for the complete application.</w:t>
      </w:r>
    </w:p>
    <w:p>
      <w:pPr>
        <w:pStyle w:val="SourceURL"/>
        <w:keepNext w:val="0"/>
      </w:pPr>
      <w:hyperlink r:id="rId27">
        <w:r>
          <w:rPr>
            <w:color w:val="147D83"/>
            <w:sz w:val="17"/>
          </w:rPr>
          <w:t>https://gvisor.dev/docs/</w:t>
        </w:r>
      </w:hyperlink>
    </w:p>
    <w:p>
      <w:pPr>
        <w:pStyle w:val="Heading2"/>
      </w:pPr>
      <w:r>
        <w:rPr>
          <w:b w:val="0"/>
          <w:i w:val="0"/>
        </w:rPr>
        <w:t>What remains to be measured</w:t>
      </w:r>
    </w:p>
    <w:p>
      <w:r>
        <w:rPr>
          <w:b w:val="0"/>
          <w:i w:val="0"/>
        </w:rPr>
        <w:t>No source establishes the best model/provider for this workload, reliable reconstruction from an arbitrary number of examples, a universal rendering engine, or acceptable latency for this specific application. Those decisions require a representative corpus and the learning/runtime/renderer evaluations described in the build plan.</w:t>
      </w:r>
    </w:p>
    <w:p>
      <w:r>
        <w:rPr>
          <w:b w:val="0"/>
          <w:i w:val="0"/>
        </w:rPr>
        <w:t>The highest-risk engineering assumptions are recoverable source semantics, identifiable reporting policies, native pivot implementation, precise dynamic layout, and consistent export capability enforcement. The milestone sequence tests those risks before broadening scope.</w:t>
      </w:r>
    </w:p>
    <w:sectPr w:rsidR="00FC693F" w:rsidRPr="0006063C" w:rsidSect="00034616">
      <w:headerReference w:type="default" r:id="rId9"/>
      <w:footerReference w:type="default" r:id="rId10"/>
      <w:pgSz w:w="11909" w:h="16834"/>
      <w:pgMar w:top="1123" w:right="1181" w:bottom="1080" w:left="1181"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ato" w:hAnsi="Lato"/>
        <w:color w:val="5D6C76"/>
        <w:sz w:val="16"/>
      </w:rPr>
      <w:t xml:space="preserve">DESIGN SPECIFICATION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504" w:val="right"/>
      </w:tabs>
      <w:spacing w:after="0"/>
    </w:pPr>
    <w:r>
      <w:rPr>
        <w:rFonts w:ascii="Lato" w:hAnsi="Lato"/>
        <w:b/>
        <w:color w:val="147D83"/>
        <w:sz w:val="16"/>
      </w:rPr>
      <w:t>PERIODIC REPORT SYSTEM</w:t>
    </w:r>
    <w:r>
      <w:rPr>
        <w:color w:val="5D6C76"/>
        <w:sz w:val="16"/>
      </w:rPr>
      <w:tab/>
      <w:t>ARCHITECTURE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2" w:lineRule="auto" w:after="100"/>
    </w:pPr>
    <w:rPr>
      <w:rFonts w:ascii="Lato" w:hAnsi="Lato"/>
      <w:color w:val="17304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Lato" w:hAnsi="Lato"/>
      <w:b/>
      <w:bCs/>
      <w:color w:val="173042"/>
      <w:sz w:val="46"/>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Lato" w:hAnsi="Lato"/>
      <w:b/>
      <w:bCs/>
      <w:color w:val="147D83"/>
      <w:sz w:val="28"/>
      <w:szCs w:val="26"/>
    </w:rPr>
  </w:style>
  <w:style w:type="paragraph" w:styleId="Heading3">
    <w:name w:val="heading 3"/>
    <w:basedOn w:val="Normal"/>
    <w:next w:val="Normal"/>
    <w:link w:val="Heading3Char"/>
    <w:uiPriority w:val="9"/>
    <w:unhideWhenUsed/>
    <w:qFormat/>
    <w:rsid w:val="00FC693F"/>
    <w:pPr>
      <w:keepNext/>
      <w:keepLines/>
      <w:spacing w:before="220" w:after="140"/>
      <w:outlineLvl w:val="2"/>
    </w:pPr>
    <w:rPr>
      <w:rFonts w:asciiTheme="majorHAnsi" w:eastAsiaTheme="majorEastAsia" w:hAnsiTheme="majorHAnsi" w:cstheme="majorBidi" w:ascii="Lato" w:hAnsi="Lato"/>
      <w:b/>
      <w:bCs/>
      <w:color w:val="17304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40" w:line="240" w:lineRule="auto" w:before="220"/>
      <w:contextualSpacing/>
    </w:pPr>
    <w:rPr>
      <w:rFonts w:asciiTheme="majorHAnsi" w:eastAsiaTheme="majorEastAsia" w:hAnsiTheme="majorHAnsi" w:cstheme="majorBidi" w:ascii="Lato" w:hAnsi="Lato"/>
      <w:b/>
      <w:color w:val="173042"/>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220" w:after="140"/>
    </w:pPr>
    <w:rPr>
      <w:rFonts w:asciiTheme="majorHAnsi" w:eastAsiaTheme="majorEastAsia" w:hAnsiTheme="majorHAnsi" w:cstheme="majorBidi" w:ascii="Lato" w:hAnsi="Lato"/>
      <w:b w:val="0"/>
      <w:i/>
      <w:iCs/>
      <w:color w:val="5D6C76"/>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spacing w:line="262" w:lineRule="auto" w:after="100"/>
      <w:ind w:left="720"/>
      <w:contextualSpacing/>
    </w:pPr>
    <w:rPr>
      <w:rFonts w:ascii="Lato" w:hAnsi="Lato"/>
      <w:color w:val="173042"/>
      <w:sz w:val="20"/>
    </w:rPr>
  </w:style>
  <w:style w:type="paragraph" w:styleId="BodyText">
    <w:name w:val="Body Text"/>
    <w:basedOn w:val="Normal"/>
    <w:link w:val="BodyTextChar"/>
    <w:uiPriority w:val="99"/>
    <w:unhideWhenUsed/>
    <w:rsid w:val="00AA1D8D"/>
    <w:pPr>
      <w:widowControl/>
      <w:spacing w:after="100" w:line="262" w:lineRule="auto"/>
    </w:pPr>
    <w:rPr>
      <w:rFonts w:ascii="Lato" w:hAnsi="Lato"/>
      <w:color w:val="173042"/>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after="180" w:line="254" w:lineRule="auto" w:before="100"/>
      <w:ind w:left="173" w:right="144"/>
      <w:shd w:fill="EEF4F6"/>
    </w:pPr>
    <w:rPr>
      <w:rFonts w:ascii="DejaVu Sans Mono" w:hAnsi="DejaVu Sans Mono"/>
      <w:color w:val="173042"/>
      <w:sz w:val="16"/>
    </w:rPr>
  </w:style>
  <w:style w:type="paragraph" w:customStyle="1" w:styleId="SourceURL">
    <w:name w:val="Source URL"/>
    <w:pPr>
      <w:spacing w:after="100" w:line="254" w:lineRule="auto"/>
    </w:pPr>
    <w:rPr>
      <w:rFonts w:ascii="Lato" w:hAnsi="Lato"/>
      <w:color w:val="5D6C76"/>
      <w:sz w:val="16"/>
    </w:rPr>
  </w:style>
  <w:style w:type="paragraph" w:customStyle="1" w:styleId="SmallNote">
    <w:name w:val="Small Note"/>
    <w:pPr>
      <w:spacing w:after="100" w:line="254" w:lineRule="auto"/>
    </w:pPr>
    <w:rPr>
      <w:rFonts w:ascii="Lato" w:hAnsi="Lato"/>
      <w:color w:val="5D6C76"/>
      <w:sz w:val="18"/>
    </w:rPr>
  </w:style>
  <w:style w:type="paragraph" w:customStyle="1" w:styleId="TableText">
    <w:name w:val="Table Text"/>
    <w:pPr>
      <w:spacing w:after="100" w:line="254" w:lineRule="auto"/>
    </w:pPr>
    <w:rPr>
      <w:rFonts w:ascii="Lato" w:hAnsi="Lato"/>
      <w:color w:val="173042"/>
      <w:sz w:val="18"/>
    </w:rPr>
  </w:style>
  <w:style w:type="paragraph" w:customStyle="1" w:styleId="TableHeader">
    <w:name w:val="Table Header"/>
    <w:pPr>
      <w:spacing w:after="100" w:line="254" w:lineRule="auto"/>
    </w:pPr>
    <w:rPr>
      <w:rFonts w:ascii="Lato" w:hAnsi="Lato"/>
      <w:b/>
      <w:color w:val="FFFFF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andoc.org/MANUAL.html" TargetMode="External"/><Relationship Id="rId12" Type="http://schemas.openxmlformats.org/officeDocument/2006/relationships/hyperlink" Target="https://docling-project.github.io/docling/concepts/docling_document/" TargetMode="External"/><Relationship Id="rId13" Type="http://schemas.openxmlformats.org/officeDocument/2006/relationships/hyperlink" Target="https://pandas.pydata.org/docs/reference/api/pandas.read_excel.html" TargetMode="External"/><Relationship Id="rId14" Type="http://schemas.openxmlformats.org/officeDocument/2006/relationships/hyperlink" Target="https://learn.microsoft.com/en-us/office/open-xml/spreadsheet/working-with-pivottables" TargetMode="External"/><Relationship Id="rId15" Type="http://schemas.openxmlformats.org/officeDocument/2006/relationships/hyperlink" Target="https://openpyxl.readthedocs.io/en/stable/pivot.html" TargetMode="External"/><Relationship Id="rId16" Type="http://schemas.openxmlformats.org/officeDocument/2006/relationships/hyperlink" Target="https://xlsxwriter.readthedocs.io/working_with_formulas.html" TargetMode="External"/><Relationship Id="rId17" Type="http://schemas.openxmlformats.org/officeDocument/2006/relationships/hyperlink" Target="https://duckdb.org/docs/current/guides/performance/how_to_tune_workloads" TargetMode="External"/><Relationship Id="rId18" Type="http://schemas.openxmlformats.org/officeDocument/2006/relationships/hyperlink" Target="https://duckdb.org/docs/current/data/csv/auto_detection" TargetMode="External"/><Relationship Id="rId19" Type="http://schemas.openxmlformats.org/officeDocument/2006/relationships/hyperlink" Target="https://python-docx.readthedocs.io/en/latest/user/text.html" TargetMode="External"/><Relationship Id="rId20" Type="http://schemas.openxmlformats.org/officeDocument/2006/relationships/hyperlink" Target="https://python-pptx.readthedocs.io/en/latest/user/charts.html" TargetMode="External"/><Relationship Id="rId21" Type="http://schemas.openxmlformats.org/officeDocument/2006/relationships/hyperlink" Target="https://playwright.dev/docs/api/class-page#page-pdf" TargetMode="External"/><Relationship Id="rId22" Type="http://schemas.openxmlformats.org/officeDocument/2006/relationships/hyperlink" Target="https://www.w3.org/TR/css-break-3/" TargetMode="External"/><Relationship Id="rId23" Type="http://schemas.openxmlformats.org/officeDocument/2006/relationships/hyperlink" Target="https://www.anthropic.com/engineering/building-effective-agents" TargetMode="External"/><Relationship Id="rId24" Type="http://schemas.openxmlformats.org/officeDocument/2006/relationships/hyperlink" Target="https://www.microsoft.com/en-us/research/publication/user-interaction-models-for-disambiguation-in-programming-by-example/" TargetMode="External"/><Relationship Id="rId25" Type="http://schemas.openxmlformats.org/officeDocument/2006/relationships/hyperlink" Target="https://www.anthropic.com/engineering/demystifying-evals-for-ai-agents" TargetMode="External"/><Relationship Id="rId26" Type="http://schemas.openxmlformats.org/officeDocument/2006/relationships/hyperlink" Target="https://cheatsheetseries.owasp.org/cheatsheets/LLM_Prompt_Injection_Prevention_Cheat_Sheet.html" TargetMode="External"/><Relationship Id="rId27" Type="http://schemas.openxmlformats.org/officeDocument/2006/relationships/hyperlink" Target="https://gvisor.dev/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Periodic Report System — Architecture and Implementation Specification</dc:title>
  <dc:subject>Example-driven periodic reporting with a native semantic model and multi-format exports</dc:subject>
  <dc:creator/>
  <cp:keywords>report generation, architecture, native report model, document compiler</cp:keywords>
  <dc:description>Design proposal and reference contract fixture; not an implemented generation application.</dc:description>
  <cp:lastModifiedBy/>
  <cp:revision>1</cp:revision>
  <dcterms:created xsi:type="dcterms:W3CDTF">2013-12-23T23:15:00Z</dcterms:created>
  <dcterms:modified xsi:type="dcterms:W3CDTF">2013-12-23T23:15:00Z</dcterms:modified>
  <cp:category/>
</cp:coreProperties>
</file>