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Quarterly revenue · Q1 2026</w:t>
      </w:r>
    </w:p>
    <w:p>
      <w:r>
        <w:t>Current revenue (EUR): 1,600.00</w:t>
      </w:r>
    </w:p>
    <w:p>
      <w:r>
        <w:t>Comparison revenue (EUR): 1,100.00</w:t>
      </w:r>
    </w:p>
    <w:p>
      <w:r>
        <w:t>Revenue change (EUR): 500.00</w:t>
      </w:r>
    </w:p>
    <w:p>
      <w:r>
        <w:t>Growth: 45.5%</w:t>
      </w:r>
    </w:p>
    <w:p>
      <w:r>
        <w:t>Selected region: South</w:t>
      </w:r>
    </w:p>
    <w:p>
      <w:pPr>
        <w:pStyle w:val="Heading1"/>
      </w:pPr>
      <w:r>
        <w:t>Regional performance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</w:tcPr>
          <w:p>
            <w:r>
              <w:t>Region</w:t>
            </w:r>
          </w:p>
        </w:tc>
        <w:tc>
          <w:tcPr>
            <w:tcW w:type="dxa" w:w="2040"/>
          </w:tcPr>
          <w:p>
            <w:r>
              <w:t>Current (EUR)</w:t>
            </w:r>
          </w:p>
        </w:tc>
        <w:tc>
          <w:tcPr>
            <w:tcW w:type="dxa" w:w="2040"/>
          </w:tcPr>
          <w:p>
            <w:r>
              <w:t>Comparison (EUR)</w:t>
            </w:r>
          </w:p>
        </w:tc>
        <w:tc>
          <w:tcPr>
            <w:tcW w:type="dxa" w:w="2040"/>
          </w:tcPr>
          <w:p>
            <w:r>
              <w:t>Change (EUR)</w:t>
            </w:r>
          </w:p>
        </w:tc>
        <w:tc>
          <w:tcPr>
            <w:tcW w:type="dxa" w:w="2040"/>
          </w:tcPr>
          <w:p>
            <w:r>
              <w:t>Growth (%)</w:t>
            </w:r>
          </w:p>
        </w:tc>
      </w:tr>
      <w:tr>
        <w:tc>
          <w:tcPr>
            <w:tcW w:type="dxa" w:w="2040"/>
          </w:tcPr>
          <w:p>
            <w:r>
              <w:t>East</w:t>
            </w:r>
          </w:p>
        </w:tc>
        <w:tc>
          <w:tcPr>
            <w:tcW w:type="dxa" w:w="2040"/>
          </w:tcPr>
          <w:p>
            <w:r>
              <w:t>100.00</w:t>
            </w:r>
          </w:p>
        </w:tc>
        <w:tc>
          <w:tcPr>
            <w:tcW w:type="dxa" w:w="2040"/>
          </w:tcPr>
          <w:p>
            <w:r>
              <w:t>10.00</w:t>
            </w:r>
          </w:p>
        </w:tc>
        <w:tc>
          <w:tcPr>
            <w:tcW w:type="dxa" w:w="2040"/>
          </w:tcPr>
          <w:p>
            <w:r>
              <w:t>90.00</w:t>
            </w:r>
          </w:p>
        </w:tc>
        <w:tc>
          <w:tcPr>
            <w:tcW w:type="dxa" w:w="2040"/>
          </w:tcPr>
          <w:p>
            <w:r>
              <w:t>900.0%</w:t>
            </w:r>
          </w:p>
        </w:tc>
      </w:tr>
      <w:tr>
        <w:tc>
          <w:tcPr>
            <w:tcW w:type="dxa" w:w="2040"/>
          </w:tcPr>
          <w:p>
            <w:r>
              <w:t>North</w:t>
            </w:r>
          </w:p>
        </w:tc>
        <w:tc>
          <w:tcPr>
            <w:tcW w:type="dxa" w:w="2040"/>
          </w:tcPr>
          <w:p>
            <w:r>
              <w:t>1,000.00</w:t>
            </w:r>
          </w:p>
        </w:tc>
        <w:tc>
          <w:tcPr>
            <w:tcW w:type="dxa" w:w="2040"/>
          </w:tcPr>
          <w:p>
            <w:r>
              <w:t>990.00</w:t>
            </w:r>
          </w:p>
        </w:tc>
        <w:tc>
          <w:tcPr>
            <w:tcW w:type="dxa" w:w="2040"/>
          </w:tcPr>
          <w:p>
            <w:r>
              <w:t>10.00</w:t>
            </w:r>
          </w:p>
        </w:tc>
        <w:tc>
          <w:tcPr>
            <w:tcW w:type="dxa" w:w="2040"/>
          </w:tcPr>
          <w:p>
            <w:r>
              <w:t>1.0%</w:t>
            </w:r>
          </w:p>
        </w:tc>
      </w:tr>
      <w:tr>
        <w:tc>
          <w:tcPr>
            <w:tcW w:type="dxa" w:w="2040"/>
          </w:tcPr>
          <w:p>
            <w:r>
              <w:t>South</w:t>
            </w:r>
          </w:p>
        </w:tc>
        <w:tc>
          <w:tcPr>
            <w:tcW w:type="dxa" w:w="2040"/>
          </w:tcPr>
          <w:p>
            <w:r>
              <w:t>500.00</w:t>
            </w:r>
          </w:p>
        </w:tc>
        <w:tc>
          <w:tcPr>
            <w:tcW w:type="dxa" w:w="2040"/>
          </w:tcPr>
          <w:p>
            <w:r>
              <w:t>100.00</w:t>
            </w:r>
          </w:p>
        </w:tc>
        <w:tc>
          <w:tcPr>
            <w:tcW w:type="dxa" w:w="2040"/>
          </w:tcPr>
          <w:p>
            <w:r>
              <w:t>400.00</w:t>
            </w:r>
          </w:p>
        </w:tc>
        <w:tc>
          <w:tcPr>
            <w:tcW w:type="dxa" w:w="2040"/>
          </w:tcPr>
          <w:p>
            <w:r>
              <w:t>400.0%</w:t>
            </w:r>
          </w:p>
        </w:tc>
      </w:tr>
    </w:tbl>
    <w:p>
      <w:r>
        <w:t>This report describes posted revenue movements. The source data does not establish the causes of those movements.</w:t>
      </w:r>
    </w:p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Independent synthetic historical target: discriminating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