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Q4 2026</w:t>
      </w:r>
    </w:p>
    <w:p>
      <w:r>
        <w:t>Current revenue (EUR): 4,061.00</w:t>
      </w:r>
    </w:p>
    <w:p>
      <w:r>
        <w:t>Comparison revenue (EUR): 3,060.00</w:t>
      </w:r>
    </w:p>
    <w:p>
      <w:r>
        <w:t>Revenue change (EUR): 1,001.00</w:t>
      </w:r>
    </w:p>
    <w:p>
      <w:r>
        <w:t>Growth: 32.7%</w:t>
      </w:r>
    </w:p>
    <w:p>
      <w:r>
        <w:t>Selected region: Orchard Canary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Harbor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1,900.10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2,000.00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-99.90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-5.0%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Juniper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900.20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Larch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260.30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160.00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100.30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62.7%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Orchard Canary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1,000.40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1,000.40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Not defined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Q4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