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Q4 2025</w:t>
      </w:r>
    </w:p>
    <w:p>
      <w:r>
        <w:t>Current revenue (EUR): 3,060.00</w:t>
      </w:r>
    </w:p>
    <w:p>
      <w:r>
        <w:t>Comparison revenue (EUR): 2,190.00</w:t>
      </w:r>
    </w:p>
    <w:p>
      <w:r>
        <w:t>Revenue change (EUR): 870.00</w:t>
      </w:r>
    </w:p>
    <w:p>
      <w:r>
        <w:t>Growth: 39.7%</w:t>
      </w:r>
    </w:p>
    <w:p>
      <w:r>
        <w:t>Selected region: Juniper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Harbor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2,000.00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1,980.00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Juniper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700.00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Larch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160.00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1500.0%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Q4 2025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