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Q1 2026</w:t>
      </w:r>
    </w:p>
    <w:p>
      <w:r>
        <w:t>Current revenue (EUR): 1,570.00</w:t>
      </w:r>
    </w:p>
    <w:p>
      <w:r>
        <w:t>Comparison revenue (EUR): 1,800.00</w:t>
      </w:r>
    </w:p>
    <w:p>
      <w:r>
        <w:t>Revenue change (EUR): -230.00</w:t>
      </w:r>
    </w:p>
    <w:p>
      <w:r>
        <w:t>Growth: -12.8%</w:t>
      </w:r>
    </w:p>
    <w:p>
      <w:r>
        <w:t>Selected region: Atrium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Atrium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800.00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1,000.00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-200.00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-20.0%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Briar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650.00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700.00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-50.00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-7.1%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Cypress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120.00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Q1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