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revenue - Q2 2026</w:t>
      </w:r>
    </w:p>
    <w:p>
      <w:r>
        <w:t>Current revenue (EUR): 1,125.00</w:t>
      </w:r>
    </w:p>
    <w:p>
      <w:r>
        <w:t>Comparison revenue (EUR): 800.00</w:t>
      </w:r>
    </w:p>
    <w:p>
      <w:r>
        <w:t>Revenue change (EUR): 325.00</w:t>
      </w:r>
    </w:p>
    <w:p>
      <w:r>
        <w:t>Growth: 40.6%</w:t>
      </w:r>
    </w:p>
    <w:p>
      <w:r>
        <w:t>Selected region: Atrium</w:t>
      </w:r>
    </w:p>
    <w:p>
      <w:pPr>
        <w:pStyle w:val="Heading1"/>
      </w:pPr>
      <w:r>
        <w:t>Regional performance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left"/>
            </w:pPr>
            <w:r>
              <w:rPr>
                <w:b/>
                <w:sz w:val="18"/>
              </w:rPr>
              <w:t>Region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Current (EUR)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Comparison (EUR)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Change (EUR)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Growth (%)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Atrium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500.00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100.00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400.00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400.0%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Briar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500.00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200.00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300.00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150.0%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Cypress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125.00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500.00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-375.00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-75.0%</w:t>
            </w:r>
          </w:p>
        </w:tc>
      </w:tr>
    </w:tbl>
    <w:p>
      <w:pPr>
        <w:pStyle w:val="Heading1"/>
      </w:pPr>
      <w:r>
        <w:t>Editorial context</w:t>
      </w:r>
    </w:p>
    <w:p>
      <w:r>
        <w:t>This report describes posted revenue movements. The source data does not establish the causes of those movements.</w:t>
      </w:r>
    </w:p>
    <w:sectPr w:rsidR="00FC693F" w:rsidRPr="0006063C" w:rsidSect="00034616">
      <w:pgSz w:w="11909" w:h="16834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revenue Q2 2026</dc:title>
  <dc:subject>Independent synthetic regional revenue reporting fixture</dc:subject>
  <dc:creator>Report Foundry validation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