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Q2 2026</w:t>
      </w:r>
    </w:p>
    <w:p>
      <w:r>
        <w:t>Current revenue (EUR): 510.00</w:t>
      </w:r>
    </w:p>
    <w:p>
      <w:r>
        <w:t>Comparison revenue (EUR): 500.00</w:t>
      </w:r>
    </w:p>
    <w:p>
      <w:r>
        <w:t>Revenue change (EUR): 10.00</w:t>
      </w:r>
    </w:p>
    <w:p>
      <w:r>
        <w:t>Growth: 2.0%</w:t>
      </w:r>
    </w:p>
    <w:p>
      <w:r>
        <w:t>Selected region: Maple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Maple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Quartz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Willow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110.00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Q2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