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Q3 2026</w:t>
      </w:r>
    </w:p>
    <w:p>
      <w:r>
        <w:t>Current revenue (EUR): 1,085.00</w:t>
      </w:r>
    </w:p>
    <w:p>
      <w:r>
        <w:t>Comparison revenue (EUR): 530.00</w:t>
      </w:r>
    </w:p>
    <w:p>
      <w:r>
        <w:t>Revenue change (EUR): 555.00</w:t>
      </w:r>
    </w:p>
    <w:p>
      <w:r>
        <w:t>Growth: 104.7%</w:t>
      </w:r>
    </w:p>
    <w:p>
      <w:r>
        <w:t>Selected region: Quartz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Maple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440.00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Quartz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Willow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45.00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Zephyr Canary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Not defined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Q3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