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Q3 2025</w:t>
      </w:r>
    </w:p>
    <w:p>
      <w:r>
        <w:t>Current revenue (EUR): 530.00</w:t>
      </w:r>
    </w:p>
    <w:p>
      <w:r>
        <w:t>Comparison revenue (EUR): 300.00</w:t>
      </w:r>
    </w:p>
    <w:p>
      <w:r>
        <w:t>Revenue change (EUR): 230.00</w:t>
      </w:r>
    </w:p>
    <w:p>
      <w:r>
        <w:t>Growth: 76.7%</w:t>
      </w:r>
    </w:p>
    <w:p>
      <w:r>
        <w:t>Selected region: Maple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Maple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Quartz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Willow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Q3 2025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