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9AF2" w14:textId="77777777" w:rsidR="00786459" w:rsidRDefault="00000000">
      <w:pPr>
        <w:pStyle w:val="Titel"/>
      </w:pPr>
      <w:r>
        <w:rPr>
          <w:rFonts w:ascii="Aptos" w:hAnsi="Aptos"/>
        </w:rPr>
        <w:t>TLCTC Framework</w:t>
      </w:r>
    </w:p>
    <w:p w14:paraId="25A82A34" w14:textId="77777777" w:rsidR="00786459" w:rsidRDefault="00000000">
      <w:pPr>
        <w:pStyle w:val="Titel"/>
      </w:pPr>
      <w:r>
        <w:rPr>
          <w:rFonts w:ascii="Aptos" w:hAnsi="Aptos"/>
        </w:rPr>
        <w:t>Version 2.1 Full Extension Specification</w:t>
      </w:r>
    </w:p>
    <w:p w14:paraId="3F67E322" w14:textId="77777777" w:rsidR="00786459" w:rsidRDefault="00000000">
      <w:pPr>
        <w:pStyle w:val="Untertitel"/>
      </w:pPr>
      <w:r>
        <w:rPr>
          <w:rFonts w:ascii="Aptos" w:hAnsi="Aptos"/>
        </w:rPr>
        <w:t>Transit Boundary Operator and Intra-System Boundary Operator</w:t>
      </w:r>
    </w:p>
    <w:p w14:paraId="0F816BD1" w14:textId="77777777" w:rsidR="00786459" w:rsidRDefault="00000000">
      <w:pPr>
        <w:rPr>
          <w:rFonts w:hint="eastAsia"/>
        </w:rPr>
      </w:pPr>
      <w:r>
        <w:rPr>
          <w:b/>
          <w:sz w:val="26"/>
        </w:rPr>
        <w:t>Complete normative draft</w:t>
      </w:r>
    </w:p>
    <w:p w14:paraId="7311E9F2" w14:textId="77777777" w:rsidR="00786459" w:rsidRDefault="00000000">
      <w:pPr>
        <w:rPr>
          <w:rFonts w:hint="eastAsia"/>
        </w:rPr>
      </w:pPr>
      <w:r>
        <w:rPr>
          <w:color w:val="606060"/>
          <w:sz w:val="22"/>
        </w:rPr>
        <w:t>Prepared as a full assistant-authored specification for review and adaptation</w:t>
      </w:r>
    </w:p>
    <w:p w14:paraId="1148CB86" w14:textId="77777777" w:rsidR="00786459" w:rsidRDefault="00786459">
      <w:pPr>
        <w:rPr>
          <w:rFonts w:hint="eastAsia"/>
        </w:rPr>
      </w:pPr>
    </w:p>
    <w:tbl>
      <w:tblPr>
        <w:tblStyle w:val="Tabellenraster"/>
        <w:tblW w:w="0" w:type="auto"/>
        <w:jc w:val="center"/>
        <w:tblLayout w:type="fixed"/>
        <w:tblLook w:val="04A0" w:firstRow="1" w:lastRow="0" w:firstColumn="1" w:lastColumn="0" w:noHBand="0" w:noVBand="1"/>
      </w:tblPr>
      <w:tblGrid>
        <w:gridCol w:w="4730"/>
        <w:gridCol w:w="4730"/>
      </w:tblGrid>
      <w:tr w:rsidR="00786459" w14:paraId="17B37919" w14:textId="77777777">
        <w:trPr>
          <w:jc w:val="center"/>
        </w:trPr>
        <w:tc>
          <w:tcPr>
            <w:tcW w:w="4730" w:type="dxa"/>
            <w:shd w:val="clear" w:color="auto" w:fill="EAF0F6"/>
            <w:tcMar>
              <w:top w:w="80" w:type="dxa"/>
              <w:left w:w="90" w:type="dxa"/>
              <w:bottom w:w="80" w:type="dxa"/>
              <w:right w:w="90" w:type="dxa"/>
            </w:tcMar>
            <w:vAlign w:val="center"/>
          </w:tcPr>
          <w:p w14:paraId="30B488A8" w14:textId="77777777" w:rsidR="00786459" w:rsidRDefault="00000000">
            <w:pPr>
              <w:rPr>
                <w:rFonts w:hint="eastAsia"/>
              </w:rPr>
            </w:pPr>
            <w:r>
              <w:rPr>
                <w:b/>
                <w:color w:val="1F4E79"/>
                <w:sz w:val="18"/>
              </w:rPr>
              <w:t>Status</w:t>
            </w:r>
          </w:p>
        </w:tc>
        <w:tc>
          <w:tcPr>
            <w:tcW w:w="4730" w:type="dxa"/>
            <w:shd w:val="clear" w:color="auto" w:fill="EAF0F6"/>
            <w:tcMar>
              <w:top w:w="80" w:type="dxa"/>
              <w:left w:w="90" w:type="dxa"/>
              <w:bottom w:w="80" w:type="dxa"/>
              <w:right w:w="90" w:type="dxa"/>
            </w:tcMar>
            <w:vAlign w:val="center"/>
          </w:tcPr>
          <w:p w14:paraId="18EB589F" w14:textId="77777777" w:rsidR="00786459" w:rsidRDefault="00000000">
            <w:pPr>
              <w:rPr>
                <w:rFonts w:hint="eastAsia"/>
              </w:rPr>
            </w:pPr>
            <w:r>
              <w:rPr>
                <w:sz w:val="18"/>
              </w:rPr>
              <w:t>Assistant Draft — full normative profile</w:t>
            </w:r>
          </w:p>
        </w:tc>
      </w:tr>
      <w:tr w:rsidR="00786459" w14:paraId="34EBAF2A" w14:textId="77777777">
        <w:trPr>
          <w:jc w:val="center"/>
        </w:trPr>
        <w:tc>
          <w:tcPr>
            <w:tcW w:w="4730" w:type="dxa"/>
            <w:shd w:val="clear" w:color="auto" w:fill="EAF0F6"/>
            <w:tcMar>
              <w:top w:w="80" w:type="dxa"/>
              <w:left w:w="90" w:type="dxa"/>
              <w:bottom w:w="80" w:type="dxa"/>
              <w:right w:w="90" w:type="dxa"/>
            </w:tcMar>
            <w:vAlign w:val="center"/>
          </w:tcPr>
          <w:p w14:paraId="5B39636F" w14:textId="77777777" w:rsidR="00786459" w:rsidRDefault="00000000">
            <w:pPr>
              <w:rPr>
                <w:rFonts w:hint="eastAsia"/>
              </w:rPr>
            </w:pPr>
            <w:r>
              <w:rPr>
                <w:b/>
                <w:color w:val="1F4E79"/>
                <w:sz w:val="18"/>
              </w:rPr>
              <w:t>Compatibility</w:t>
            </w:r>
          </w:p>
        </w:tc>
        <w:tc>
          <w:tcPr>
            <w:tcW w:w="4730" w:type="dxa"/>
            <w:tcMar>
              <w:top w:w="80" w:type="dxa"/>
              <w:left w:w="90" w:type="dxa"/>
              <w:bottom w:w="80" w:type="dxa"/>
              <w:right w:w="90" w:type="dxa"/>
            </w:tcMar>
            <w:vAlign w:val="center"/>
          </w:tcPr>
          <w:p w14:paraId="43A891BC" w14:textId="77777777" w:rsidR="00786459" w:rsidRDefault="00000000">
            <w:pPr>
              <w:rPr>
                <w:rFonts w:hint="eastAsia"/>
              </w:rPr>
            </w:pPr>
            <w:r>
              <w:rPr>
                <w:sz w:val="18"/>
              </w:rPr>
              <w:t>Backward-compatible with TLCTC v2.0</w:t>
            </w:r>
          </w:p>
        </w:tc>
      </w:tr>
      <w:tr w:rsidR="00786459" w14:paraId="1DC7788A" w14:textId="77777777">
        <w:trPr>
          <w:jc w:val="center"/>
        </w:trPr>
        <w:tc>
          <w:tcPr>
            <w:tcW w:w="4730" w:type="dxa"/>
            <w:shd w:val="clear" w:color="auto" w:fill="EAF0F6"/>
            <w:tcMar>
              <w:top w:w="80" w:type="dxa"/>
              <w:left w:w="90" w:type="dxa"/>
              <w:bottom w:w="80" w:type="dxa"/>
              <w:right w:w="90" w:type="dxa"/>
            </w:tcMar>
            <w:vAlign w:val="center"/>
          </w:tcPr>
          <w:p w14:paraId="50ABBE3E" w14:textId="77777777" w:rsidR="00786459" w:rsidRDefault="00000000">
            <w:pPr>
              <w:rPr>
                <w:rFonts w:hint="eastAsia"/>
              </w:rPr>
            </w:pPr>
            <w:r>
              <w:rPr>
                <w:b/>
                <w:color w:val="1F4E79"/>
                <w:sz w:val="18"/>
              </w:rPr>
              <w:t>Intended use</w:t>
            </w:r>
          </w:p>
        </w:tc>
        <w:tc>
          <w:tcPr>
            <w:tcW w:w="4730" w:type="dxa"/>
            <w:tcMar>
              <w:top w:w="80" w:type="dxa"/>
              <w:left w:w="90" w:type="dxa"/>
              <w:bottom w:w="80" w:type="dxa"/>
              <w:right w:w="90" w:type="dxa"/>
            </w:tcMar>
            <w:vAlign w:val="center"/>
          </w:tcPr>
          <w:p w14:paraId="67AE1E26" w14:textId="77777777" w:rsidR="00786459" w:rsidRDefault="00000000">
            <w:pPr>
              <w:rPr>
                <w:rFonts w:hint="eastAsia"/>
              </w:rPr>
            </w:pPr>
            <w:r>
              <w:rPr>
                <w:sz w:val="18"/>
              </w:rPr>
              <w:t>Specification review, pilot implementation, parser/profile design, forensic notation</w:t>
            </w:r>
          </w:p>
        </w:tc>
      </w:tr>
      <w:tr w:rsidR="00786459" w14:paraId="52472E7A" w14:textId="77777777">
        <w:trPr>
          <w:jc w:val="center"/>
        </w:trPr>
        <w:tc>
          <w:tcPr>
            <w:tcW w:w="4730" w:type="dxa"/>
            <w:shd w:val="clear" w:color="auto" w:fill="EAF0F6"/>
            <w:tcMar>
              <w:top w:w="80" w:type="dxa"/>
              <w:left w:w="90" w:type="dxa"/>
              <w:bottom w:w="80" w:type="dxa"/>
              <w:right w:w="90" w:type="dxa"/>
            </w:tcMar>
            <w:vAlign w:val="center"/>
          </w:tcPr>
          <w:p w14:paraId="08680CB8" w14:textId="77777777" w:rsidR="00786459" w:rsidRDefault="00000000">
            <w:pPr>
              <w:rPr>
                <w:rFonts w:hint="eastAsia"/>
              </w:rPr>
            </w:pPr>
            <w:r>
              <w:rPr>
                <w:b/>
                <w:color w:val="1F4E79"/>
                <w:sz w:val="18"/>
              </w:rPr>
              <w:t>Design stance</w:t>
            </w:r>
          </w:p>
        </w:tc>
        <w:tc>
          <w:tcPr>
            <w:tcW w:w="4730" w:type="dxa"/>
            <w:tcMar>
              <w:top w:w="80" w:type="dxa"/>
              <w:left w:w="90" w:type="dxa"/>
              <w:bottom w:w="80" w:type="dxa"/>
              <w:right w:w="90" w:type="dxa"/>
            </w:tcMar>
            <w:vAlign w:val="center"/>
          </w:tcPr>
          <w:p w14:paraId="1ABCA65E" w14:textId="77777777" w:rsidR="00786459" w:rsidRDefault="00000000">
            <w:pPr>
              <w:rPr>
                <w:rFonts w:hint="eastAsia"/>
              </w:rPr>
            </w:pPr>
            <w:r>
              <w:rPr>
                <w:sz w:val="18"/>
              </w:rPr>
              <w:t>Minimal semantic expansion; strong anti-drift guardrails</w:t>
            </w:r>
          </w:p>
        </w:tc>
      </w:tr>
      <w:tr w:rsidR="00786459" w14:paraId="62D13F91" w14:textId="77777777">
        <w:trPr>
          <w:jc w:val="center"/>
        </w:trPr>
        <w:tc>
          <w:tcPr>
            <w:tcW w:w="4730" w:type="dxa"/>
            <w:shd w:val="clear" w:color="auto" w:fill="EAF0F6"/>
            <w:tcMar>
              <w:top w:w="80" w:type="dxa"/>
              <w:left w:w="90" w:type="dxa"/>
              <w:bottom w:w="80" w:type="dxa"/>
              <w:right w:w="90" w:type="dxa"/>
            </w:tcMar>
            <w:vAlign w:val="center"/>
          </w:tcPr>
          <w:p w14:paraId="0FCEDF5B" w14:textId="77777777" w:rsidR="00786459" w:rsidRDefault="00000000">
            <w:pPr>
              <w:rPr>
                <w:rFonts w:hint="eastAsia"/>
              </w:rPr>
            </w:pPr>
            <w:r>
              <w:rPr>
                <w:b/>
                <w:color w:val="1F4E79"/>
                <w:sz w:val="18"/>
              </w:rPr>
              <w:t>Date</w:t>
            </w:r>
          </w:p>
        </w:tc>
        <w:tc>
          <w:tcPr>
            <w:tcW w:w="4730" w:type="dxa"/>
            <w:tcMar>
              <w:top w:w="80" w:type="dxa"/>
              <w:left w:w="90" w:type="dxa"/>
              <w:bottom w:w="80" w:type="dxa"/>
              <w:right w:w="90" w:type="dxa"/>
            </w:tcMar>
            <w:vAlign w:val="center"/>
          </w:tcPr>
          <w:p w14:paraId="0E5B6228" w14:textId="77777777" w:rsidR="00786459" w:rsidRDefault="00000000">
            <w:pPr>
              <w:rPr>
                <w:rFonts w:hint="eastAsia"/>
              </w:rPr>
            </w:pPr>
            <w:r>
              <w:rPr>
                <w:sz w:val="18"/>
              </w:rPr>
              <w:t>March 2026</w:t>
            </w:r>
          </w:p>
        </w:tc>
      </w:tr>
    </w:tbl>
    <w:p w14:paraId="10808FDF" w14:textId="77777777" w:rsidR="00786459" w:rsidRDefault="00786459">
      <w:pPr>
        <w:rPr>
          <w:rFonts w:hint="eastAsia"/>
        </w:rPr>
      </w:pPr>
    </w:p>
    <w:p w14:paraId="2F1C0A98" w14:textId="77777777" w:rsidR="00786459" w:rsidRDefault="00000000">
      <w:pPr>
        <w:rPr>
          <w:rFonts w:hint="eastAsia"/>
        </w:rPr>
      </w:pPr>
      <w:r>
        <w:t>This document specifies the v2.1 notation extensions that I would standardize for TLCTC. It is intentionally stricter than an exploratory draft. The goal is to add structural precision where modern attack paths cross third-party transit infrastructure and internal system containment boundaries, while preserving TLCTC’s cause-oriented model and its ten-cluster classification discipline.</w:t>
      </w:r>
    </w:p>
    <w:p w14:paraId="61CF45FA" w14:textId="77777777" w:rsidR="00786459" w:rsidRDefault="00000000">
      <w:pPr>
        <w:rPr>
          <w:rFonts w:hint="eastAsia"/>
        </w:rPr>
      </w:pPr>
      <w:r>
        <w:br w:type="page"/>
      </w:r>
    </w:p>
    <w:p w14:paraId="67BC8313" w14:textId="77777777" w:rsidR="00786459" w:rsidRDefault="00000000">
      <w:pPr>
        <w:pStyle w:val="berschrift1"/>
      </w:pPr>
      <w:r>
        <w:lastRenderedPageBreak/>
        <w:t>Contents</w:t>
      </w:r>
    </w:p>
    <w:p w14:paraId="45FD6863" w14:textId="77777777" w:rsidR="00786459" w:rsidRDefault="00000000">
      <w:pPr>
        <w:ind w:left="403" w:hanging="317"/>
        <w:rPr>
          <w:rFonts w:hint="eastAsia"/>
        </w:rPr>
      </w:pPr>
      <w:r>
        <w:rPr>
          <w:b/>
          <w:color w:val="1F4E79"/>
        </w:rPr>
        <w:t xml:space="preserve">1. </w:t>
      </w:r>
      <w:r>
        <w:t>1. Abstract</w:t>
      </w:r>
    </w:p>
    <w:p w14:paraId="259A7ACE" w14:textId="77777777" w:rsidR="00786459" w:rsidRDefault="00000000">
      <w:pPr>
        <w:ind w:left="403" w:hanging="317"/>
        <w:rPr>
          <w:rFonts w:hint="eastAsia"/>
        </w:rPr>
      </w:pPr>
      <w:r>
        <w:rPr>
          <w:b/>
          <w:color w:val="1F4E79"/>
        </w:rPr>
        <w:t xml:space="preserve">2. </w:t>
      </w:r>
      <w:r>
        <w:t>2. Status, scope, and relationship to TLCTC v2.0</w:t>
      </w:r>
    </w:p>
    <w:p w14:paraId="3265E656" w14:textId="77777777" w:rsidR="00786459" w:rsidRDefault="00000000">
      <w:pPr>
        <w:ind w:left="403" w:hanging="317"/>
        <w:rPr>
          <w:rFonts w:hint="eastAsia"/>
        </w:rPr>
      </w:pPr>
      <w:r>
        <w:rPr>
          <w:b/>
          <w:color w:val="1F4E79"/>
        </w:rPr>
        <w:t xml:space="preserve">3. </w:t>
      </w:r>
      <w:r>
        <w:t>3. Normative language and conformance philosophy</w:t>
      </w:r>
    </w:p>
    <w:p w14:paraId="0A423F3F" w14:textId="77777777" w:rsidR="00786459" w:rsidRDefault="00000000">
      <w:pPr>
        <w:ind w:left="403" w:hanging="317"/>
        <w:rPr>
          <w:rFonts w:hint="eastAsia"/>
        </w:rPr>
      </w:pPr>
      <w:r>
        <w:rPr>
          <w:b/>
          <w:color w:val="1F4E79"/>
        </w:rPr>
        <w:t xml:space="preserve">4. </w:t>
      </w:r>
      <w:r>
        <w:t>4. Semantic guardrails and axiomatic compatibility</w:t>
      </w:r>
    </w:p>
    <w:p w14:paraId="2A810ABC" w14:textId="77777777" w:rsidR="00786459" w:rsidRDefault="00000000">
      <w:pPr>
        <w:ind w:left="403" w:hanging="317"/>
        <w:rPr>
          <w:rFonts w:hint="eastAsia"/>
        </w:rPr>
      </w:pPr>
      <w:r>
        <w:rPr>
          <w:b/>
          <w:color w:val="1F4E79"/>
        </w:rPr>
        <w:t xml:space="preserve">5. </w:t>
      </w:r>
      <w:r>
        <w:t>5. Transit Boundary Operator</w:t>
      </w:r>
    </w:p>
    <w:p w14:paraId="3385A6A3" w14:textId="77777777" w:rsidR="00786459" w:rsidRDefault="00000000">
      <w:pPr>
        <w:ind w:left="403" w:hanging="317"/>
        <w:rPr>
          <w:rFonts w:hint="eastAsia"/>
        </w:rPr>
      </w:pPr>
      <w:r>
        <w:rPr>
          <w:b/>
          <w:color w:val="1F4E79"/>
        </w:rPr>
        <w:t xml:space="preserve">6. </w:t>
      </w:r>
      <w:r>
        <w:t>6. Intra-System Boundary Operator</w:t>
      </w:r>
    </w:p>
    <w:p w14:paraId="29569AFA" w14:textId="77777777" w:rsidR="00786459" w:rsidRDefault="00000000">
      <w:pPr>
        <w:ind w:left="403" w:hanging="317"/>
        <w:rPr>
          <w:rFonts w:hint="eastAsia"/>
        </w:rPr>
      </w:pPr>
      <w:r>
        <w:rPr>
          <w:b/>
          <w:color w:val="1F4E79"/>
        </w:rPr>
        <w:t xml:space="preserve">7. </w:t>
      </w:r>
      <w:r>
        <w:t>7. Composition and notation behavior</w:t>
      </w:r>
    </w:p>
    <w:p w14:paraId="7A84218A" w14:textId="77777777" w:rsidR="00786459" w:rsidRDefault="00000000">
      <w:pPr>
        <w:ind w:left="403" w:hanging="317"/>
        <w:rPr>
          <w:rFonts w:hint="eastAsia"/>
        </w:rPr>
      </w:pPr>
      <w:r>
        <w:rPr>
          <w:b/>
          <w:color w:val="1F4E79"/>
        </w:rPr>
        <w:t xml:space="preserve">8. </w:t>
      </w:r>
      <w:r>
        <w:t>8. Serialization profile and formal grammar</w:t>
      </w:r>
    </w:p>
    <w:p w14:paraId="3A07983B" w14:textId="77777777" w:rsidR="00786459" w:rsidRDefault="00000000">
      <w:pPr>
        <w:ind w:left="403" w:hanging="317"/>
        <w:rPr>
          <w:rFonts w:hint="eastAsia"/>
        </w:rPr>
      </w:pPr>
      <w:r>
        <w:rPr>
          <w:b/>
          <w:color w:val="1F4E79"/>
        </w:rPr>
        <w:t xml:space="preserve">9. </w:t>
      </w:r>
      <w:r>
        <w:t>9. JSON mapping and implementation profile</w:t>
      </w:r>
    </w:p>
    <w:p w14:paraId="5067D4E4" w14:textId="77777777" w:rsidR="00786459" w:rsidRDefault="00000000">
      <w:pPr>
        <w:ind w:left="403" w:hanging="317"/>
        <w:rPr>
          <w:rFonts w:hint="eastAsia"/>
        </w:rPr>
      </w:pPr>
      <w:r>
        <w:rPr>
          <w:b/>
          <w:color w:val="1F4E79"/>
        </w:rPr>
        <w:t xml:space="preserve">10. </w:t>
      </w:r>
      <w:r>
        <w:t>10. Rendering and visualization guidance</w:t>
      </w:r>
    </w:p>
    <w:p w14:paraId="3A5F1747" w14:textId="77777777" w:rsidR="00786459" w:rsidRDefault="00000000">
      <w:pPr>
        <w:ind w:left="403" w:hanging="317"/>
        <w:rPr>
          <w:rFonts w:hint="eastAsia"/>
        </w:rPr>
      </w:pPr>
      <w:r>
        <w:rPr>
          <w:b/>
          <w:color w:val="1F4E79"/>
        </w:rPr>
        <w:t xml:space="preserve">11. </w:t>
      </w:r>
      <w:r>
        <w:t>11. Worked examples</w:t>
      </w:r>
    </w:p>
    <w:p w14:paraId="6D0CE092" w14:textId="77777777" w:rsidR="00786459" w:rsidRDefault="00000000">
      <w:pPr>
        <w:ind w:left="403" w:hanging="317"/>
        <w:rPr>
          <w:rFonts w:hint="eastAsia"/>
        </w:rPr>
      </w:pPr>
      <w:r>
        <w:rPr>
          <w:b/>
          <w:color w:val="1F4E79"/>
        </w:rPr>
        <w:t xml:space="preserve">12. </w:t>
      </w:r>
      <w:r>
        <w:t>12. Conformance requirements</w:t>
      </w:r>
    </w:p>
    <w:p w14:paraId="221042D1" w14:textId="77777777" w:rsidR="00786459" w:rsidRDefault="00000000">
      <w:pPr>
        <w:ind w:left="403" w:hanging="317"/>
        <w:rPr>
          <w:rFonts w:hint="eastAsia"/>
        </w:rPr>
      </w:pPr>
      <w:r>
        <w:rPr>
          <w:b/>
          <w:color w:val="1F4E79"/>
        </w:rPr>
        <w:t xml:space="preserve">13. </w:t>
      </w:r>
      <w:r>
        <w:t>Appendix A. Symbol table</w:t>
      </w:r>
    </w:p>
    <w:p w14:paraId="64E0167A" w14:textId="77777777" w:rsidR="00786459" w:rsidRDefault="00000000">
      <w:pPr>
        <w:ind w:left="403" w:hanging="317"/>
        <w:rPr>
          <w:rFonts w:hint="eastAsia"/>
        </w:rPr>
      </w:pPr>
      <w:r>
        <w:rPr>
          <w:b/>
          <w:color w:val="1F4E79"/>
        </w:rPr>
        <w:t xml:space="preserve">14. </w:t>
      </w:r>
      <w:r>
        <w:t>Appendix B. Context vocabulary</w:t>
      </w:r>
    </w:p>
    <w:p w14:paraId="03CB3C43" w14:textId="77777777" w:rsidR="00786459" w:rsidRDefault="00000000">
      <w:pPr>
        <w:ind w:left="403" w:hanging="317"/>
        <w:rPr>
          <w:rFonts w:hint="eastAsia"/>
        </w:rPr>
      </w:pPr>
      <w:r>
        <w:rPr>
          <w:b/>
          <w:color w:val="1F4E79"/>
        </w:rPr>
        <w:t xml:space="preserve">15. </w:t>
      </w:r>
      <w:r>
        <w:t>Appendix C. Intra-system boundary catalog</w:t>
      </w:r>
    </w:p>
    <w:p w14:paraId="26D38612" w14:textId="77777777" w:rsidR="00786459" w:rsidRDefault="00000000">
      <w:pPr>
        <w:ind w:left="403" w:hanging="317"/>
        <w:rPr>
          <w:rFonts w:hint="eastAsia"/>
        </w:rPr>
      </w:pPr>
      <w:r>
        <w:rPr>
          <w:b/>
          <w:color w:val="1F4E79"/>
        </w:rPr>
        <w:t xml:space="preserve">16. </w:t>
      </w:r>
      <w:r>
        <w:t>Appendix D. Decision procedure</w:t>
      </w:r>
    </w:p>
    <w:p w14:paraId="1BCB2F11" w14:textId="77777777" w:rsidR="00786459" w:rsidRDefault="00000000">
      <w:pPr>
        <w:ind w:left="403" w:hanging="317"/>
        <w:rPr>
          <w:rFonts w:hint="eastAsia"/>
        </w:rPr>
      </w:pPr>
      <w:r>
        <w:rPr>
          <w:b/>
          <w:color w:val="1F4E79"/>
        </w:rPr>
        <w:t xml:space="preserve">17. </w:t>
      </w:r>
      <w:r>
        <w:t>Appendix E. Anti-patterns and misuse cases</w:t>
      </w:r>
    </w:p>
    <w:p w14:paraId="5CD96070" w14:textId="77777777" w:rsidR="00786459" w:rsidRDefault="00000000">
      <w:pPr>
        <w:pStyle w:val="berschrift1"/>
      </w:pPr>
      <w:r>
        <w:t>1. Abstract</w:t>
      </w:r>
    </w:p>
    <w:p w14:paraId="1A558A8C" w14:textId="77777777" w:rsidR="00786459" w:rsidRDefault="00000000">
      <w:pPr>
        <w:rPr>
          <w:rFonts w:hint="eastAsia"/>
        </w:rPr>
      </w:pPr>
      <w:r>
        <w:t>This specification defines two notation extensions for the TLCTC attack-path language: the Transit Boundary Operator and the Intra-System Boundary Operator. The Transit Boundary Operator identifies a third-party intermediary whose infrastructure sits topologically between source and target in the delivery path of a step. The Intra-System Boundary Operator identifies a security-domain crossing that occurs within one system instance during a step.</w:t>
      </w:r>
    </w:p>
    <w:p w14:paraId="5EB0D8E0" w14:textId="77777777" w:rsidR="00786459" w:rsidRDefault="00000000">
      <w:pPr>
        <w:rPr>
          <w:rFonts w:hint="eastAsia"/>
        </w:rPr>
      </w:pPr>
      <w:r>
        <w:t>Both operators are annotations. They add structural precision to attack-path notation, but they do not create new TLCTC clusters, do not redefine existing clusters, and must not alter the classification of any attack step. Classification remains determined solely by the generic vulnerability initially exploited by that step.</w:t>
      </w:r>
    </w:p>
    <w:p w14:paraId="417CF62C" w14:textId="77777777" w:rsidR="00786459" w:rsidRDefault="00000000">
      <w:pPr>
        <w:rPr>
          <w:rFonts w:hint="eastAsia"/>
        </w:rPr>
      </w:pPr>
      <w:r>
        <w:t>This specification is intentionally complete enough for real use: it includes definitions, semantics, normative rules, composition behavior, serialization guidance, a formal extension grammar, a minimal implementation profile, and worked examples.</w:t>
      </w:r>
    </w:p>
    <w:p w14:paraId="71FCC5EE" w14:textId="77777777" w:rsidR="00786459" w:rsidRDefault="00000000">
      <w:pPr>
        <w:pStyle w:val="berschrift1"/>
      </w:pPr>
      <w:r>
        <w:t>2. Status, scope, and relationship to TLCTC v2.0</w:t>
      </w:r>
    </w:p>
    <w:p w14:paraId="09423466" w14:textId="77777777" w:rsidR="00786459" w:rsidRDefault="00000000">
      <w:pPr>
        <w:rPr>
          <w:rFonts w:hint="eastAsia"/>
        </w:rPr>
      </w:pPr>
      <w:r>
        <w:t>This is a full draft specification for review. It is written as a candidate v2.1 profile that is designed to remain fully compatible with v2.0 notation and v2.0 semantic principles.</w:t>
      </w:r>
    </w:p>
    <w:p w14:paraId="4BE0E720" w14:textId="77777777" w:rsidR="00786459" w:rsidRDefault="00000000">
      <w:pPr>
        <w:rPr>
          <w:rFonts w:hint="eastAsia"/>
        </w:rPr>
      </w:pPr>
      <w:r>
        <w:t>This specification covers:</w:t>
      </w:r>
    </w:p>
    <w:p w14:paraId="0E0F87B3" w14:textId="77777777" w:rsidR="00786459" w:rsidRDefault="00000000">
      <w:pPr>
        <w:ind w:left="360" w:hanging="259"/>
        <w:rPr>
          <w:rFonts w:hint="eastAsia"/>
        </w:rPr>
      </w:pPr>
      <w:r>
        <w:rPr>
          <w:b/>
          <w:color w:val="1F4E79"/>
        </w:rPr>
        <w:t xml:space="preserve">• </w:t>
      </w:r>
      <w:r>
        <w:t>the syntax and semantics of the Transit Boundary Operator;</w:t>
      </w:r>
    </w:p>
    <w:p w14:paraId="04D5A60A" w14:textId="77777777" w:rsidR="00786459" w:rsidRDefault="00000000">
      <w:pPr>
        <w:ind w:left="360" w:hanging="259"/>
        <w:rPr>
          <w:rFonts w:hint="eastAsia"/>
        </w:rPr>
      </w:pPr>
      <w:r>
        <w:rPr>
          <w:b/>
          <w:color w:val="1F4E79"/>
        </w:rPr>
        <w:t xml:space="preserve">• </w:t>
      </w:r>
      <w:r>
        <w:t>the syntax and semantics of the Intra-System Boundary Operator;</w:t>
      </w:r>
    </w:p>
    <w:p w14:paraId="134F701A" w14:textId="77777777" w:rsidR="00786459" w:rsidRDefault="00000000">
      <w:pPr>
        <w:ind w:left="360" w:hanging="259"/>
        <w:rPr>
          <w:rFonts w:hint="eastAsia"/>
        </w:rPr>
      </w:pPr>
      <w:r>
        <w:rPr>
          <w:b/>
          <w:color w:val="1F4E79"/>
        </w:rPr>
        <w:lastRenderedPageBreak/>
        <w:t xml:space="preserve">• </w:t>
      </w:r>
      <w:r>
        <w:t>combined placement rules with existing v2.0 operators;</w:t>
      </w:r>
    </w:p>
    <w:p w14:paraId="698C5E33" w14:textId="77777777" w:rsidR="00786459" w:rsidRDefault="00000000">
      <w:pPr>
        <w:ind w:left="360" w:hanging="259"/>
        <w:rPr>
          <w:rFonts w:hint="eastAsia"/>
        </w:rPr>
      </w:pPr>
      <w:r>
        <w:rPr>
          <w:b/>
          <w:color w:val="1F4E79"/>
        </w:rPr>
        <w:t xml:space="preserve">• </w:t>
      </w:r>
      <w:r>
        <w:t>canonical Unicode and ASCII transport forms;</w:t>
      </w:r>
    </w:p>
    <w:p w14:paraId="4906B2AD" w14:textId="77777777" w:rsidR="00786459" w:rsidRDefault="00000000">
      <w:pPr>
        <w:ind w:left="360" w:hanging="259"/>
        <w:rPr>
          <w:rFonts w:hint="eastAsia"/>
        </w:rPr>
      </w:pPr>
      <w:r>
        <w:rPr>
          <w:b/>
          <w:color w:val="1F4E79"/>
        </w:rPr>
        <w:t xml:space="preserve">• </w:t>
      </w:r>
      <w:r>
        <w:t>a formal extension grammar sufficient for deterministic parsing of the new operators;</w:t>
      </w:r>
    </w:p>
    <w:p w14:paraId="2101831F" w14:textId="77777777" w:rsidR="00786459" w:rsidRDefault="00000000">
      <w:pPr>
        <w:ind w:left="360" w:hanging="259"/>
        <w:rPr>
          <w:rFonts w:hint="eastAsia"/>
        </w:rPr>
      </w:pPr>
      <w:r>
        <w:rPr>
          <w:b/>
          <w:color w:val="1F4E79"/>
        </w:rPr>
        <w:t xml:space="preserve">• </w:t>
      </w:r>
      <w:r>
        <w:t>a minimal JSON mapping and implementation profile;</w:t>
      </w:r>
    </w:p>
    <w:p w14:paraId="521001CB" w14:textId="77777777" w:rsidR="00786459" w:rsidRDefault="00000000">
      <w:pPr>
        <w:ind w:left="360" w:hanging="259"/>
        <w:rPr>
          <w:rFonts w:hint="eastAsia"/>
        </w:rPr>
      </w:pPr>
      <w:r>
        <w:rPr>
          <w:b/>
          <w:color w:val="1F4E79"/>
        </w:rPr>
        <w:t xml:space="preserve">• </w:t>
      </w:r>
      <w:r>
        <w:t>conformance requirements and misuse guardrails.</w:t>
      </w:r>
    </w:p>
    <w:p w14:paraId="4B21B82A" w14:textId="77777777" w:rsidR="00786459" w:rsidRDefault="00000000">
      <w:pPr>
        <w:rPr>
          <w:rFonts w:hint="eastAsia"/>
        </w:rPr>
      </w:pPr>
      <w:r>
        <w:t>This specification does not:</w:t>
      </w:r>
    </w:p>
    <w:p w14:paraId="67A300EB" w14:textId="77777777" w:rsidR="00786459" w:rsidRDefault="00000000">
      <w:pPr>
        <w:ind w:left="360" w:hanging="259"/>
        <w:rPr>
          <w:rFonts w:hint="eastAsia"/>
        </w:rPr>
      </w:pPr>
      <w:r>
        <w:rPr>
          <w:b/>
          <w:color w:val="1F4E79"/>
        </w:rPr>
        <w:t xml:space="preserve">• </w:t>
      </w:r>
      <w:r>
        <w:t>define any new TLCTC threat cluster;</w:t>
      </w:r>
    </w:p>
    <w:p w14:paraId="73671328" w14:textId="77777777" w:rsidR="00786459" w:rsidRDefault="00000000">
      <w:pPr>
        <w:ind w:left="360" w:hanging="259"/>
        <w:rPr>
          <w:rFonts w:hint="eastAsia"/>
        </w:rPr>
      </w:pPr>
      <w:r>
        <w:rPr>
          <w:b/>
          <w:color w:val="1F4E79"/>
        </w:rPr>
        <w:t xml:space="preserve">• </w:t>
      </w:r>
      <w:r>
        <w:t>replace the v2.0 causal classification model;</w:t>
      </w:r>
    </w:p>
    <w:p w14:paraId="5456D2ED" w14:textId="77777777" w:rsidR="00786459" w:rsidRDefault="00000000">
      <w:pPr>
        <w:ind w:left="360" w:hanging="259"/>
        <w:rPr>
          <w:rFonts w:hint="eastAsia"/>
        </w:rPr>
      </w:pPr>
      <w:r>
        <w:rPr>
          <w:b/>
          <w:color w:val="1F4E79"/>
        </w:rPr>
        <w:t xml:space="preserve">• </w:t>
      </w:r>
      <w:r>
        <w:t>promote outcomes such as privilege escalation or sandbox escape into threats;</w:t>
      </w:r>
    </w:p>
    <w:p w14:paraId="21E6AF6F" w14:textId="77777777" w:rsidR="00786459" w:rsidRDefault="00000000">
      <w:pPr>
        <w:ind w:left="360" w:hanging="259"/>
        <w:rPr>
          <w:rFonts w:hint="eastAsia"/>
        </w:rPr>
      </w:pPr>
      <w:r>
        <w:rPr>
          <w:b/>
          <w:color w:val="1F4E79"/>
        </w:rPr>
        <w:t xml:space="preserve">• </w:t>
      </w:r>
      <w:r>
        <w:t>provide a complete formal grammar for every historical v2.0 construct outside the scope needed for the v2.1 extension profile;</w:t>
      </w:r>
    </w:p>
    <w:p w14:paraId="29E4E6EE" w14:textId="77777777" w:rsidR="00786459" w:rsidRDefault="00000000">
      <w:pPr>
        <w:ind w:left="360" w:hanging="259"/>
        <w:rPr>
          <w:rFonts w:hint="eastAsia"/>
        </w:rPr>
      </w:pPr>
      <w:r>
        <w:rPr>
          <w:b/>
          <w:color w:val="1F4E79"/>
        </w:rPr>
        <w:t xml:space="preserve">• </w:t>
      </w:r>
      <w:r>
        <w:t>replace forensic prose, analyst judgment, or evidence statements.</w:t>
      </w:r>
    </w:p>
    <w:p w14:paraId="4D7BF561" w14:textId="77777777" w:rsidR="00786459" w:rsidRDefault="00000000">
      <w:pPr>
        <w:rPr>
          <w:rFonts w:hint="eastAsia"/>
        </w:rPr>
      </w:pPr>
      <w:r>
        <w:t>Relationship to v2.0: every valid v2.0 notation string remains valid in v2.1. When v2.1 annotations are stripped, the underlying v2.0 cluster sequence must still be recoverable.</w:t>
      </w:r>
    </w:p>
    <w:p w14:paraId="27815791" w14:textId="77777777" w:rsidR="00786459" w:rsidRDefault="00000000">
      <w:pPr>
        <w:pStyle w:val="berschrift1"/>
      </w:pPr>
      <w:r>
        <w:t>3. Normative language and conformance philosophy</w:t>
      </w:r>
    </w:p>
    <w:p w14:paraId="28091A89" w14:textId="77777777" w:rsidR="00786459" w:rsidRDefault="00000000">
      <w:pPr>
        <w:rPr>
          <w:rFonts w:hint="eastAsia"/>
        </w:rPr>
      </w:pPr>
      <w:r>
        <w:t>The keywords MUST, MUST NOT, REQUIRED, SHALL, SHALL NOT, SHOULD, SHOULD NOT, RECOMMENDED, MAY, and OPTIONAL are to be interpreted as described in RFC 2119 and RFC 8174 when written in uppercase.</w:t>
      </w:r>
    </w:p>
    <w:p w14:paraId="004BD0D7" w14:textId="77777777" w:rsidR="00786459" w:rsidRDefault="00000000">
      <w:pPr>
        <w:rPr>
          <w:rFonts w:hint="eastAsia"/>
        </w:rPr>
      </w:pPr>
      <w:r>
        <w:t>Conformance in this specification is semantic first and syntactic second. A parser or rendering tool is not conformant merely because it accepts symbols. It must preserve the underlying TLCTC meaning: annotations cannot be allowed to mutate cluster identity, to hide distinct causal steps, or to introduce effect-oriented pseudo-categories.</w:t>
      </w:r>
    </w:p>
    <w:p w14:paraId="77977E20" w14:textId="77777777" w:rsidR="00786459" w:rsidRDefault="00000000">
      <w:pPr>
        <w:pStyle w:val="berschrift1"/>
      </w:pPr>
      <w:r>
        <w:t>4. Semantic guardrails and axiomatic compatibility</w:t>
      </w:r>
    </w:p>
    <w:p w14:paraId="09CE9069" w14:textId="77777777" w:rsidR="00786459" w:rsidRDefault="00000000">
      <w:pPr>
        <w:rPr>
          <w:rFonts w:hint="eastAsia"/>
        </w:rPr>
      </w:pPr>
      <w:r>
        <w:t>This section is normative. It exists to prevent category drift. The v2.1 operators are valuable only if they remain subordinate to the v2.0 framework rather than silently changing it.</w:t>
      </w:r>
    </w:p>
    <w:p w14:paraId="5486B488" w14:textId="77777777" w:rsidR="00786459" w:rsidRDefault="00000000">
      <w:pPr>
        <w:pStyle w:val="Rule"/>
        <w:keepLines/>
        <w:rPr>
          <w:rFonts w:hint="eastAsia"/>
        </w:rPr>
      </w:pPr>
      <w:r>
        <w:rPr>
          <w:b/>
          <w:color w:val="1F4E79"/>
        </w:rPr>
        <w:t xml:space="preserve">SG-1. </w:t>
      </w:r>
      <w:r>
        <w:t>Cause first. Every attack step SHALL be classified by the generic vulnerability initially exploited in that step, not by the delivery topology, boundary crossed, internal effect produced, or defender control that failed.</w:t>
      </w:r>
    </w:p>
    <w:p w14:paraId="4EC89B93" w14:textId="77777777" w:rsidR="00786459" w:rsidRDefault="00000000">
      <w:pPr>
        <w:pStyle w:val="Rule"/>
        <w:keepLines/>
        <w:rPr>
          <w:rFonts w:hint="eastAsia"/>
        </w:rPr>
      </w:pPr>
      <w:r>
        <w:rPr>
          <w:b/>
          <w:color w:val="1F4E79"/>
        </w:rPr>
        <w:t xml:space="preserve">SG-2. </w:t>
      </w:r>
      <w:r>
        <w:t>Topology is not classification. Transit and intra-system annotations describe structure. They MUST NOT define, imply, or substitute for a TLCTC cluster.</w:t>
      </w:r>
    </w:p>
    <w:p w14:paraId="01052BE6" w14:textId="77777777" w:rsidR="00786459" w:rsidRDefault="00000000">
      <w:pPr>
        <w:pStyle w:val="Rule"/>
        <w:keepLines/>
        <w:rPr>
          <w:rFonts w:hint="eastAsia"/>
        </w:rPr>
      </w:pPr>
      <w:r>
        <w:rPr>
          <w:b/>
          <w:color w:val="1F4E79"/>
        </w:rPr>
        <w:t xml:space="preserve">SG-3. </w:t>
      </w:r>
      <w:r>
        <w:t>Annotations are subordinate. A boundary annotation MAY refine a step, but it MUST NOT appear as an independent attack-path element and MUST NOT replace a cluster identifier.</w:t>
      </w:r>
    </w:p>
    <w:p w14:paraId="3E71D3B2" w14:textId="77777777" w:rsidR="00786459" w:rsidRDefault="00000000">
      <w:pPr>
        <w:pStyle w:val="Rule"/>
        <w:keepLines/>
        <w:rPr>
          <w:rFonts w:hint="eastAsia"/>
        </w:rPr>
      </w:pPr>
      <w:r>
        <w:rPr>
          <w:b/>
          <w:color w:val="1F4E79"/>
        </w:rPr>
        <w:t xml:space="preserve">SG-4. </w:t>
      </w:r>
      <w:r>
        <w:t>Effects are not threats. Sandbox escape, privilege escalation, process pivot, hypervisor escape, persistence, and data exfiltration are not TLCTC clusters. They are internal transitions, follow-on actions, or outcomes that must remain attached to a #1–#10 cause.</w:t>
      </w:r>
    </w:p>
    <w:p w14:paraId="2FD335E6" w14:textId="77777777" w:rsidR="00786459" w:rsidRDefault="00000000">
      <w:pPr>
        <w:pStyle w:val="Rule"/>
        <w:keepLines/>
        <w:rPr>
          <w:rFonts w:hint="eastAsia"/>
        </w:rPr>
      </w:pPr>
      <w:r>
        <w:rPr>
          <w:b/>
          <w:color w:val="1F4E79"/>
        </w:rPr>
        <w:t xml:space="preserve">SG-5. </w:t>
      </w:r>
      <w:r>
        <w:t>Actors are not threats. Transit parties, vendors, cloud providers, carriers, or platform operators are responsibility spheres, not threat categories.</w:t>
      </w:r>
    </w:p>
    <w:p w14:paraId="54C77C84" w14:textId="77777777" w:rsidR="00786459" w:rsidRDefault="00000000">
      <w:pPr>
        <w:pStyle w:val="Rule"/>
        <w:keepLines/>
        <w:rPr>
          <w:rFonts w:hint="eastAsia"/>
        </w:rPr>
      </w:pPr>
      <w:r>
        <w:rPr>
          <w:b/>
          <w:color w:val="1F4E79"/>
        </w:rPr>
        <w:t xml:space="preserve">SG-6. </w:t>
      </w:r>
      <w:r>
        <w:t>Distinct exploit rule. If forensic evidence shows that an internal transition required a separately evidenced exploit of a distinct vulnerability, the notation MUST express a new cluster step.</w:t>
      </w:r>
    </w:p>
    <w:p w14:paraId="0400A421" w14:textId="77777777" w:rsidR="00786459" w:rsidRDefault="00000000">
      <w:pPr>
        <w:pStyle w:val="Rule"/>
        <w:keepLines/>
        <w:rPr>
          <w:rFonts w:hint="eastAsia"/>
        </w:rPr>
      </w:pPr>
      <w:r>
        <w:rPr>
          <w:b/>
          <w:color w:val="1F4E79"/>
        </w:rPr>
        <w:t xml:space="preserve">SG-7. </w:t>
      </w:r>
      <w:r>
        <w:t>Backward recoverability. Stripping all v2.1 annotations from a valid expression MUST leave a valid underlying cluster sequence or single cluster step.</w:t>
      </w:r>
    </w:p>
    <w:p w14:paraId="27A5471A" w14:textId="77777777" w:rsidR="00786459" w:rsidRDefault="00000000">
      <w:pPr>
        <w:rPr>
          <w:rFonts w:hint="eastAsia"/>
        </w:rPr>
      </w:pPr>
      <w:r>
        <w:lastRenderedPageBreak/>
        <w:t>These guardrails are the main reason the extension remains TLCTC-consistent. Without them, the same notation features that improve fidelity would also create semantic ambiguity.</w:t>
      </w:r>
    </w:p>
    <w:p w14:paraId="0AA5845E" w14:textId="77777777" w:rsidR="00786459" w:rsidRDefault="00000000">
      <w:pPr>
        <w:pStyle w:val="berschrift1"/>
      </w:pPr>
      <w:r>
        <w:t>5. Transit Boundary Operator</w:t>
      </w:r>
    </w:p>
    <w:p w14:paraId="0AD3CE69" w14:textId="77777777" w:rsidR="00786459" w:rsidRDefault="00000000">
      <w:pPr>
        <w:pStyle w:val="berschrift2"/>
      </w:pPr>
      <w:r>
        <w:t>5.1 Definition</w:t>
      </w:r>
    </w:p>
    <w:p w14:paraId="7AA257D3" w14:textId="77777777" w:rsidR="00786459" w:rsidRDefault="00000000">
      <w:pPr>
        <w:rPr>
          <w:rFonts w:hint="eastAsia"/>
        </w:rPr>
      </w:pPr>
      <w:r>
        <w:t>The Transit Boundary Operator identifies an inter-organizational boundary in which the path of a step traverses infrastructure operated by a third party that is neither the source nor the target. The transit party is topologically in-between.</w:t>
      </w:r>
    </w:p>
    <w:p w14:paraId="41103702" w14:textId="77777777" w:rsidR="00786459" w:rsidRDefault="00000000">
      <w:pPr>
        <w:pStyle w:val="berschrift2"/>
      </w:pPr>
      <w:r>
        <w:t>5.2 Canonical syntax</w:t>
      </w:r>
    </w:p>
    <w:tbl>
      <w:tblPr>
        <w:tblW w:w="0" w:type="auto"/>
        <w:jc w:val="center"/>
        <w:tblLayout w:type="fixed"/>
        <w:tblLook w:val="04A0" w:firstRow="1" w:lastRow="0" w:firstColumn="1" w:lastColumn="0" w:noHBand="0" w:noVBand="1"/>
      </w:tblPr>
      <w:tblGrid>
        <w:gridCol w:w="9461"/>
      </w:tblGrid>
      <w:tr w:rsidR="00786459" w14:paraId="793CD0D8" w14:textId="77777777">
        <w:trPr>
          <w:jc w:val="center"/>
        </w:trPr>
        <w:tc>
          <w:tcPr>
            <w:tcW w:w="9461" w:type="dxa"/>
            <w:shd w:val="clear" w:color="auto" w:fill="F3F6F9"/>
            <w:tcMar>
              <w:top w:w="90" w:type="dxa"/>
              <w:left w:w="120" w:type="dxa"/>
              <w:bottom w:w="90" w:type="dxa"/>
              <w:right w:w="120" w:type="dxa"/>
            </w:tcMar>
          </w:tcPr>
          <w:p w14:paraId="261B1D39" w14:textId="77777777" w:rsidR="00786459" w:rsidRDefault="00000000">
            <w:pPr>
              <w:pStyle w:val="CodeBlock"/>
              <w:spacing w:after="0"/>
              <w:rPr>
                <w:rFonts w:hint="eastAsia"/>
              </w:rPr>
            </w:pPr>
            <w:r>
              <w:t>||[context][@Source⇒@Transit→@Target]||</w:t>
            </w:r>
          </w:p>
        </w:tc>
      </w:tr>
    </w:tbl>
    <w:p w14:paraId="2D24F711" w14:textId="77777777" w:rsidR="00786459" w:rsidRDefault="00786459">
      <w:pPr>
        <w:pStyle w:val="Small"/>
        <w:rPr>
          <w:rFonts w:hint="eastAsia"/>
        </w:rPr>
      </w:pPr>
    </w:p>
    <w:p w14:paraId="7E26FFBE" w14:textId="77777777" w:rsidR="00786459" w:rsidRDefault="00000000">
      <w:pPr>
        <w:pStyle w:val="berschrift2"/>
      </w:pPr>
      <w:r>
        <w:t>5.3 Reading rule</w:t>
      </w:r>
    </w:p>
    <w:p w14:paraId="392E218C" w14:textId="77777777" w:rsidR="00786459" w:rsidRDefault="00000000">
      <w:pPr>
        <w:rPr>
          <w:rFonts w:hint="eastAsia"/>
        </w:rPr>
      </w:pPr>
      <w:r>
        <w:t>Read the operator as: the step originates in @Source, traverses intermediary infrastructure operated by @Transit, and is delivered to @Target.</w:t>
      </w:r>
    </w:p>
    <w:p w14:paraId="39C9C5B6" w14:textId="77777777" w:rsidR="00786459" w:rsidRDefault="00000000">
      <w:pPr>
        <w:pStyle w:val="berschrift2"/>
      </w:pPr>
      <w:r>
        <w:t>5.4 Core semantics</w:t>
      </w:r>
    </w:p>
    <w:p w14:paraId="0CB2A665" w14:textId="77777777" w:rsidR="00786459" w:rsidRDefault="00000000">
      <w:pPr>
        <w:ind w:left="360" w:hanging="259"/>
        <w:rPr>
          <w:rFonts w:hint="eastAsia"/>
        </w:rPr>
      </w:pPr>
      <w:r>
        <w:rPr>
          <w:b/>
          <w:color w:val="1F4E79"/>
        </w:rPr>
        <w:t xml:space="preserve">• </w:t>
      </w:r>
      <w:r>
        <w:t>The operator is about topology, not blame.</w:t>
      </w:r>
    </w:p>
    <w:p w14:paraId="3CA62AE9" w14:textId="77777777" w:rsidR="00786459" w:rsidRDefault="00000000">
      <w:pPr>
        <w:ind w:left="360" w:hanging="259"/>
        <w:rPr>
          <w:rFonts w:hint="eastAsia"/>
        </w:rPr>
      </w:pPr>
      <w:r>
        <w:rPr>
          <w:b/>
          <w:color w:val="1F4E79"/>
        </w:rPr>
        <w:t xml:space="preserve">• </w:t>
      </w:r>
      <w:r>
        <w:t>The operator is valid only when the intermediary sits between source and target in the path of delivery or relay.</w:t>
      </w:r>
    </w:p>
    <w:p w14:paraId="4DC90BA7" w14:textId="77777777" w:rsidR="00786459" w:rsidRDefault="00000000">
      <w:pPr>
        <w:ind w:left="360" w:hanging="259"/>
        <w:rPr>
          <w:rFonts w:hint="eastAsia"/>
        </w:rPr>
      </w:pPr>
      <w:r>
        <w:rPr>
          <w:b/>
          <w:color w:val="1F4E79"/>
        </w:rPr>
        <w:t xml:space="preserve">• </w:t>
      </w:r>
      <w:r>
        <w:t>The operator does not state that the intermediary is malicious, compromised, or the root cause of the step.</w:t>
      </w:r>
    </w:p>
    <w:p w14:paraId="34D0EBCC" w14:textId="77777777" w:rsidR="00786459" w:rsidRDefault="00000000">
      <w:pPr>
        <w:ind w:left="360" w:hanging="259"/>
        <w:rPr>
          <w:rFonts w:hint="eastAsia"/>
        </w:rPr>
      </w:pPr>
      <w:r>
        <w:rPr>
          <w:b/>
          <w:color w:val="1F4E79"/>
        </w:rPr>
        <w:t xml:space="preserve">• </w:t>
      </w:r>
      <w:r>
        <w:t>The operator exists because an intermediary may have distinct security obligations at that boundary, such as validation, abuse detection, relay policy, rate limiting, filtering, or takedown capability.</w:t>
      </w:r>
    </w:p>
    <w:p w14:paraId="4DF2BAB0" w14:textId="77777777" w:rsidR="00786459" w:rsidRDefault="00000000">
      <w:pPr>
        <w:pStyle w:val="berschrift2"/>
      </w:pPr>
      <w:r>
        <w:t>5.5 Actionable control responsibility</w:t>
      </w:r>
    </w:p>
    <w:p w14:paraId="73F0DA03" w14:textId="77777777" w:rsidR="00786459" w:rsidRDefault="00000000">
      <w:pPr>
        <w:rPr>
          <w:rFonts w:hint="eastAsia"/>
        </w:rPr>
      </w:pPr>
      <w:r>
        <w:t>For purposes of this specification, actionable control responsibility means a boundary-specific capacity to prevent, constrain, detect, validate, rate-limit, or terminate abusive use of the intermediary service. It does not determine the TLCTC cluster of the step.</w:t>
      </w:r>
    </w:p>
    <w:p w14:paraId="79E88A64" w14:textId="77777777" w:rsidR="00786459" w:rsidRDefault="00000000">
      <w:pPr>
        <w:pStyle w:val="berschrift2"/>
      </w:pPr>
      <w:r>
        <w:t>5.6 Normative rules</w:t>
      </w:r>
    </w:p>
    <w:p w14:paraId="69120E58" w14:textId="77777777" w:rsidR="00786459" w:rsidRDefault="00000000">
      <w:pPr>
        <w:pStyle w:val="Rule"/>
        <w:keepLines/>
        <w:rPr>
          <w:rFonts w:hint="eastAsia"/>
        </w:rPr>
      </w:pPr>
      <w:r>
        <w:rPr>
          <w:b/>
          <w:color w:val="1F4E79"/>
        </w:rPr>
        <w:t xml:space="preserve">R-TRANSIT-1. </w:t>
      </w:r>
      <w:r>
        <w:t>Distinct parties. @Transit MUST be distinct from both @Source and @Target.</w:t>
      </w:r>
    </w:p>
    <w:p w14:paraId="74BD3516" w14:textId="77777777" w:rsidR="00786459" w:rsidRDefault="00000000">
      <w:pPr>
        <w:pStyle w:val="Rule"/>
        <w:keepLines/>
        <w:rPr>
          <w:rFonts w:hint="eastAsia"/>
        </w:rPr>
      </w:pPr>
      <w:r>
        <w:rPr>
          <w:b/>
          <w:color w:val="1F4E79"/>
        </w:rPr>
        <w:t xml:space="preserve">R-TRANSIT-2. </w:t>
      </w:r>
      <w:r>
        <w:t>True intermediary topology. The operator MUST be used only when the intermediary infrastructure sits between source and target in the step’s delivery path.</w:t>
      </w:r>
    </w:p>
    <w:p w14:paraId="19AA7525" w14:textId="77777777" w:rsidR="00786459" w:rsidRDefault="00000000">
      <w:pPr>
        <w:pStyle w:val="Rule"/>
        <w:keepLines/>
        <w:rPr>
          <w:rFonts w:hint="eastAsia"/>
        </w:rPr>
      </w:pPr>
      <w:r>
        <w:rPr>
          <w:b/>
          <w:color w:val="1F4E79"/>
        </w:rPr>
        <w:t xml:space="preserve">R-TRANSIT-3. </w:t>
      </w:r>
      <w:r>
        <w:t>No vendor substitution. The operator MUST NOT be used to encode vendor responsibility for code that runs on the target. A browser vendor whose browser is exploited on the victim device is not transit merely because the vendor wrote the code.</w:t>
      </w:r>
    </w:p>
    <w:p w14:paraId="3B5CD280" w14:textId="77777777" w:rsidR="00786459" w:rsidRDefault="00000000">
      <w:pPr>
        <w:pStyle w:val="Rule"/>
        <w:keepLines/>
        <w:rPr>
          <w:rFonts w:hint="eastAsia"/>
        </w:rPr>
      </w:pPr>
      <w:r>
        <w:rPr>
          <w:b/>
          <w:color w:val="1F4E79"/>
        </w:rPr>
        <w:t xml:space="preserve">R-TRANSIT-4. </w:t>
      </w:r>
      <w:r>
        <w:t>Control relevance. The operator SHOULD be used when the intermediary has meaningful control responsibility at that boundary. It MAY be omitted where the intermediary is analytically incidental.</w:t>
      </w:r>
    </w:p>
    <w:p w14:paraId="73044BF8" w14:textId="77777777" w:rsidR="00786459" w:rsidRDefault="00000000">
      <w:pPr>
        <w:pStyle w:val="Rule"/>
        <w:keepLines/>
        <w:rPr>
          <w:rFonts w:hint="eastAsia"/>
        </w:rPr>
      </w:pPr>
      <w:r>
        <w:rPr>
          <w:b/>
          <w:color w:val="1F4E79"/>
        </w:rPr>
        <w:t xml:space="preserve">R-TRANSIT-5. </w:t>
      </w:r>
      <w:r>
        <w:t>Pure conduit fallback. If the intermediary adds no useful control surface, the analyst MAY use the binary v2.0 boundary or omit the transit annotation entirely, depending on the scenario.</w:t>
      </w:r>
    </w:p>
    <w:p w14:paraId="06E35046" w14:textId="77777777" w:rsidR="00786459" w:rsidRDefault="00000000">
      <w:pPr>
        <w:pStyle w:val="Rule"/>
        <w:keepLines/>
        <w:rPr>
          <w:rFonts w:hint="eastAsia"/>
        </w:rPr>
      </w:pPr>
      <w:r>
        <w:rPr>
          <w:b/>
          <w:color w:val="1F4E79"/>
        </w:rPr>
        <w:t xml:space="preserve">R-TRANSIT-6. </w:t>
      </w:r>
      <w:r>
        <w:t>Compromise or coercion is separate. If transit is enabled by coercion, credential misuse, physical compromise, administrative abuse, or supply-chain compromise of the intermediary, that enabling condition MUST be modeled as a preceding cluster step. Transit notation alone is insufficient.</w:t>
      </w:r>
    </w:p>
    <w:p w14:paraId="598B458D" w14:textId="77777777" w:rsidR="00786459" w:rsidRDefault="00000000">
      <w:pPr>
        <w:pStyle w:val="Rule"/>
        <w:keepLines/>
        <w:rPr>
          <w:rFonts w:hint="eastAsia"/>
        </w:rPr>
      </w:pPr>
      <w:r>
        <w:rPr>
          <w:b/>
          <w:color w:val="1F4E79"/>
        </w:rPr>
        <w:t xml:space="preserve">R-TRANSIT-7. </w:t>
      </w:r>
      <w:r>
        <w:t>Cluster independence. Transit annotation MUST NOT change cluster classification.</w:t>
      </w:r>
    </w:p>
    <w:p w14:paraId="4EF80DEF" w14:textId="77777777" w:rsidR="00786459" w:rsidRDefault="00000000">
      <w:pPr>
        <w:pStyle w:val="Rule"/>
        <w:keepLines/>
        <w:rPr>
          <w:rFonts w:hint="eastAsia"/>
        </w:rPr>
      </w:pPr>
      <w:r>
        <w:rPr>
          <w:b/>
          <w:color w:val="1F4E79"/>
        </w:rPr>
        <w:t xml:space="preserve">R-TRANSIT-8. </w:t>
      </w:r>
      <w:r>
        <w:t>Multiple transit parties. If the path traverses multiple distinct intermediaries in sequence, chained transit MAY be used, but only when each party has independent analytical relevance.</w:t>
      </w:r>
    </w:p>
    <w:p w14:paraId="1D3B7041" w14:textId="77777777" w:rsidR="00786459" w:rsidRDefault="00000000">
      <w:pPr>
        <w:pStyle w:val="berschrift2"/>
      </w:pPr>
      <w:r>
        <w:lastRenderedPageBreak/>
        <w:t>5.7 Chained transit</w:t>
      </w:r>
    </w:p>
    <w:tbl>
      <w:tblPr>
        <w:tblW w:w="0" w:type="auto"/>
        <w:jc w:val="center"/>
        <w:tblLayout w:type="fixed"/>
        <w:tblLook w:val="04A0" w:firstRow="1" w:lastRow="0" w:firstColumn="1" w:lastColumn="0" w:noHBand="0" w:noVBand="1"/>
      </w:tblPr>
      <w:tblGrid>
        <w:gridCol w:w="9461"/>
      </w:tblGrid>
      <w:tr w:rsidR="00786459" w14:paraId="2E15CCFC" w14:textId="77777777">
        <w:trPr>
          <w:jc w:val="center"/>
        </w:trPr>
        <w:tc>
          <w:tcPr>
            <w:tcW w:w="9461" w:type="dxa"/>
            <w:shd w:val="clear" w:color="auto" w:fill="F3F6F9"/>
            <w:tcMar>
              <w:top w:w="90" w:type="dxa"/>
              <w:left w:w="120" w:type="dxa"/>
              <w:bottom w:w="90" w:type="dxa"/>
              <w:right w:w="120" w:type="dxa"/>
            </w:tcMar>
          </w:tcPr>
          <w:p w14:paraId="0C4E2CB5" w14:textId="77777777" w:rsidR="00786459" w:rsidRDefault="00000000">
            <w:pPr>
              <w:pStyle w:val="CodeBlock"/>
              <w:spacing w:after="0"/>
              <w:rPr>
                <w:rFonts w:hint="eastAsia"/>
              </w:rPr>
            </w:pPr>
            <w:r>
              <w:t>||[signaling][@Attacker⇒@CarrierB⇒@CarrierA→@Target]||</w:t>
            </w:r>
          </w:p>
        </w:tc>
      </w:tr>
    </w:tbl>
    <w:p w14:paraId="15659FFD" w14:textId="77777777" w:rsidR="00786459" w:rsidRDefault="00786459">
      <w:pPr>
        <w:pStyle w:val="Small"/>
        <w:rPr>
          <w:rFonts w:hint="eastAsia"/>
        </w:rPr>
      </w:pPr>
    </w:p>
    <w:p w14:paraId="76B7687A" w14:textId="77777777" w:rsidR="00786459" w:rsidRDefault="00000000">
      <w:pPr>
        <w:rPr>
          <w:rFonts w:hint="eastAsia"/>
        </w:rPr>
      </w:pPr>
      <w:r>
        <w:t>Chained transit is intentionally narrow. It is appropriate for paths such as SS7 signaling or multi-stage relays where multiple intermediary operators each have their own control responsibility and the ordering matters.</w:t>
      </w:r>
    </w:p>
    <w:p w14:paraId="752FF9AB" w14:textId="77777777" w:rsidR="00786459" w:rsidRDefault="00000000">
      <w:pPr>
        <w:pStyle w:val="berschrift2"/>
      </w:pPr>
      <w:r>
        <w:t>5.8 Correct and incorrect use</w:t>
      </w:r>
    </w:p>
    <w:tbl>
      <w:tblPr>
        <w:tblW w:w="0" w:type="auto"/>
        <w:jc w:val="center"/>
        <w:tblLayout w:type="fixed"/>
        <w:tblLook w:val="04A0" w:firstRow="1" w:lastRow="0" w:firstColumn="1" w:lastColumn="0" w:noHBand="0" w:noVBand="1"/>
      </w:tblPr>
      <w:tblGrid>
        <w:gridCol w:w="9461"/>
      </w:tblGrid>
      <w:tr w:rsidR="00786459" w14:paraId="36C9F18A" w14:textId="77777777">
        <w:trPr>
          <w:jc w:val="center"/>
        </w:trPr>
        <w:tc>
          <w:tcPr>
            <w:tcW w:w="9461" w:type="dxa"/>
            <w:shd w:val="clear" w:color="auto" w:fill="F3F6F9"/>
            <w:tcMar>
              <w:top w:w="90" w:type="dxa"/>
              <w:left w:w="120" w:type="dxa"/>
              <w:bottom w:w="90" w:type="dxa"/>
              <w:right w:w="120" w:type="dxa"/>
            </w:tcMar>
          </w:tcPr>
          <w:p w14:paraId="4C89FDF2" w14:textId="77777777" w:rsidR="00786459" w:rsidRDefault="00000000">
            <w:pPr>
              <w:pStyle w:val="CodeBlock"/>
              <w:spacing w:after="0"/>
              <w:rPr>
                <w:rFonts w:hint="eastAsia"/>
              </w:rPr>
            </w:pPr>
            <w:r>
              <w:t>Correct</w:t>
            </w:r>
          </w:p>
          <w:p w14:paraId="64E00B3F" w14:textId="77777777" w:rsidR="00786459" w:rsidRDefault="00000000">
            <w:pPr>
              <w:pStyle w:val="CodeBlock"/>
              <w:spacing w:after="0"/>
              <w:rPr>
                <w:rFonts w:hint="eastAsia"/>
              </w:rPr>
            </w:pPr>
            <w:r>
              <w:t>||[messaging][@Attacker⇒@Apple(iMessage)→@Target]||</w:t>
            </w:r>
          </w:p>
          <w:p w14:paraId="021C6408" w14:textId="77777777" w:rsidR="00786459" w:rsidRDefault="00000000">
            <w:pPr>
              <w:pStyle w:val="CodeBlock"/>
              <w:spacing w:after="0"/>
              <w:rPr>
                <w:rFonts w:hint="eastAsia"/>
              </w:rPr>
            </w:pPr>
            <w:r>
              <w:t>||[auth][@Attacker⇒@IdentityProvider→@Target(CloudApp)]||</w:t>
            </w:r>
          </w:p>
          <w:p w14:paraId="163628DA" w14:textId="77777777" w:rsidR="00786459" w:rsidRDefault="00000000">
            <w:pPr>
              <w:pStyle w:val="CodeBlock"/>
              <w:spacing w:after="0"/>
              <w:rPr>
                <w:rFonts w:hint="eastAsia"/>
              </w:rPr>
            </w:pPr>
            <w:r>
              <w:t>||[network][@NSO_Operator⇒@MobileCarrier→@Target]||</w:t>
            </w:r>
          </w:p>
        </w:tc>
      </w:tr>
    </w:tbl>
    <w:p w14:paraId="7C440A67" w14:textId="77777777" w:rsidR="00786459" w:rsidRDefault="00786459">
      <w:pPr>
        <w:pStyle w:val="Small"/>
        <w:rPr>
          <w:rFonts w:hint="eastAsia"/>
        </w:rPr>
      </w:pPr>
    </w:p>
    <w:tbl>
      <w:tblPr>
        <w:tblW w:w="0" w:type="auto"/>
        <w:jc w:val="center"/>
        <w:tblLayout w:type="fixed"/>
        <w:tblLook w:val="04A0" w:firstRow="1" w:lastRow="0" w:firstColumn="1" w:lastColumn="0" w:noHBand="0" w:noVBand="1"/>
      </w:tblPr>
      <w:tblGrid>
        <w:gridCol w:w="9461"/>
      </w:tblGrid>
      <w:tr w:rsidR="00786459" w14:paraId="0501B1EC" w14:textId="77777777">
        <w:trPr>
          <w:jc w:val="center"/>
        </w:trPr>
        <w:tc>
          <w:tcPr>
            <w:tcW w:w="9461" w:type="dxa"/>
            <w:shd w:val="clear" w:color="auto" w:fill="F3F6F9"/>
            <w:tcMar>
              <w:top w:w="90" w:type="dxa"/>
              <w:left w:w="120" w:type="dxa"/>
              <w:bottom w:w="90" w:type="dxa"/>
              <w:right w:w="120" w:type="dxa"/>
            </w:tcMar>
          </w:tcPr>
          <w:p w14:paraId="5950185D" w14:textId="77777777" w:rsidR="00786459" w:rsidRDefault="00000000">
            <w:pPr>
              <w:pStyle w:val="CodeBlock"/>
              <w:spacing w:after="0"/>
              <w:rPr>
                <w:rFonts w:hint="eastAsia"/>
              </w:rPr>
            </w:pPr>
            <w:r>
              <w:t>Incorrect</w:t>
            </w:r>
          </w:p>
          <w:p w14:paraId="70C386DE" w14:textId="77777777" w:rsidR="00786459" w:rsidRDefault="00000000">
            <w:pPr>
              <w:pStyle w:val="CodeBlock"/>
              <w:spacing w:after="0"/>
              <w:rPr>
                <w:rFonts w:hint="eastAsia"/>
              </w:rPr>
            </w:pPr>
            <w:r>
              <w:t>||[browser][@Attacker⇒@Apple(Safari)→@Target]||</w:t>
            </w:r>
          </w:p>
          <w:p w14:paraId="1819DFBF" w14:textId="77777777" w:rsidR="00786459" w:rsidRDefault="00786459">
            <w:pPr>
              <w:pStyle w:val="CodeBlock"/>
              <w:spacing w:after="0"/>
              <w:rPr>
                <w:rFonts w:hint="eastAsia"/>
              </w:rPr>
            </w:pPr>
          </w:p>
          <w:p w14:paraId="33A967D9" w14:textId="77777777" w:rsidR="00786459" w:rsidRDefault="00000000">
            <w:pPr>
              <w:pStyle w:val="CodeBlock"/>
              <w:spacing w:after="0"/>
              <w:rPr>
                <w:rFonts w:hint="eastAsia"/>
              </w:rPr>
            </w:pPr>
            <w:r>
              <w:t>Reason: Safari runs on the target device. Apple may be the vendor responsible for code quality, but it is not topologically between attacker and target for that exploit step.</w:t>
            </w:r>
          </w:p>
        </w:tc>
      </w:tr>
    </w:tbl>
    <w:p w14:paraId="2D136627" w14:textId="77777777" w:rsidR="00786459" w:rsidRDefault="00786459">
      <w:pPr>
        <w:pStyle w:val="Small"/>
        <w:rPr>
          <w:rFonts w:hint="eastAsia"/>
        </w:rPr>
      </w:pPr>
    </w:p>
    <w:p w14:paraId="5C42C194" w14:textId="77777777" w:rsidR="00786459" w:rsidRDefault="00000000">
      <w:pPr>
        <w:pStyle w:val="berschrift2"/>
      </w:pPr>
      <w:r>
        <w:t>5.9 Relationship to #10 Supply Chain Attack</w:t>
      </w:r>
    </w:p>
    <w:p w14:paraId="08093BB0" w14:textId="77777777" w:rsidR="00786459" w:rsidRDefault="00000000">
      <w:pPr>
        <w:rPr>
          <w:rFonts w:hint="eastAsia"/>
        </w:rPr>
      </w:pPr>
      <w:r>
        <w:t>Transit is not a substitute for #10. If the intermediary itself is compromised, poisoned, or abused through a trusted third-party trust link, the enabling compromise step belongs to its own cluster, typically #10, #1, #4, #8, or #9 depending on cause. Transit may still appear after that step if the path then traverses the intermediary as infrastructure.</w:t>
      </w:r>
    </w:p>
    <w:p w14:paraId="65437825" w14:textId="77777777" w:rsidR="00786459" w:rsidRDefault="00000000">
      <w:pPr>
        <w:pStyle w:val="berschrift1"/>
      </w:pPr>
      <w:r>
        <w:t>6. Intra-System Boundary Operator</w:t>
      </w:r>
    </w:p>
    <w:p w14:paraId="68651FE5" w14:textId="77777777" w:rsidR="00786459" w:rsidRDefault="00000000">
      <w:pPr>
        <w:pStyle w:val="berschrift2"/>
      </w:pPr>
      <w:r>
        <w:t>6.1 Definition</w:t>
      </w:r>
    </w:p>
    <w:p w14:paraId="0A858915" w14:textId="77777777" w:rsidR="00786459" w:rsidRDefault="00000000">
      <w:pPr>
        <w:rPr>
          <w:rFonts w:hint="eastAsia"/>
        </w:rPr>
      </w:pPr>
      <w:r>
        <w:t>The Intra-System Boundary Operator identifies a security-domain crossing that occurs within one device, host, VM environment, containerized runtime, or other single system instance during an attack step.</w:t>
      </w:r>
    </w:p>
    <w:p w14:paraId="3FE8ABE4" w14:textId="77777777" w:rsidR="00786459" w:rsidRDefault="00000000">
      <w:pPr>
        <w:pStyle w:val="berschrift2"/>
      </w:pPr>
      <w:r>
        <w:t>6.2 Canonical syntax</w:t>
      </w:r>
    </w:p>
    <w:tbl>
      <w:tblPr>
        <w:tblW w:w="0" w:type="auto"/>
        <w:jc w:val="center"/>
        <w:tblLayout w:type="fixed"/>
        <w:tblLook w:val="04A0" w:firstRow="1" w:lastRow="0" w:firstColumn="1" w:lastColumn="0" w:noHBand="0" w:noVBand="1"/>
      </w:tblPr>
      <w:tblGrid>
        <w:gridCol w:w="9461"/>
      </w:tblGrid>
      <w:tr w:rsidR="00786459" w14:paraId="7FF3BAF4" w14:textId="77777777">
        <w:trPr>
          <w:jc w:val="center"/>
        </w:trPr>
        <w:tc>
          <w:tcPr>
            <w:tcW w:w="9461" w:type="dxa"/>
            <w:shd w:val="clear" w:color="auto" w:fill="F3F6F9"/>
            <w:tcMar>
              <w:top w:w="90" w:type="dxa"/>
              <w:left w:w="120" w:type="dxa"/>
              <w:bottom w:w="90" w:type="dxa"/>
              <w:right w:w="120" w:type="dxa"/>
            </w:tcMar>
          </w:tcPr>
          <w:p w14:paraId="5C172BAF" w14:textId="77777777" w:rsidR="00786459" w:rsidRDefault="00000000">
            <w:pPr>
              <w:pStyle w:val="CodeBlock"/>
              <w:spacing w:after="0"/>
              <w:rPr>
                <w:rFonts w:hint="eastAsia"/>
              </w:rPr>
            </w:pPr>
            <w:r>
              <w:t>|[type][@From→@To]|</w:t>
            </w:r>
          </w:p>
        </w:tc>
      </w:tr>
    </w:tbl>
    <w:p w14:paraId="44580F70" w14:textId="77777777" w:rsidR="00786459" w:rsidRDefault="00786459">
      <w:pPr>
        <w:pStyle w:val="Small"/>
        <w:rPr>
          <w:rFonts w:hint="eastAsia"/>
        </w:rPr>
      </w:pPr>
    </w:p>
    <w:p w14:paraId="01550BA4" w14:textId="77777777" w:rsidR="00786459" w:rsidRDefault="00000000">
      <w:pPr>
        <w:pStyle w:val="berschrift2"/>
      </w:pPr>
      <w:r>
        <w:t>6.3 Allowed boundary types in v2.1</w:t>
      </w:r>
    </w:p>
    <w:p w14:paraId="36AC3EC9" w14:textId="77777777" w:rsidR="00786459" w:rsidRDefault="00000000">
      <w:pPr>
        <w:ind w:left="360" w:hanging="259"/>
        <w:rPr>
          <w:rFonts w:hint="eastAsia"/>
        </w:rPr>
      </w:pPr>
      <w:r>
        <w:rPr>
          <w:b/>
          <w:color w:val="1F4E79"/>
        </w:rPr>
        <w:t xml:space="preserve">• </w:t>
      </w:r>
      <w:r>
        <w:t>sandbox — an application or container isolation boundary;</w:t>
      </w:r>
    </w:p>
    <w:p w14:paraId="08F1854F" w14:textId="77777777" w:rsidR="00786459" w:rsidRDefault="00000000">
      <w:pPr>
        <w:ind w:left="360" w:hanging="259"/>
        <w:rPr>
          <w:rFonts w:hint="eastAsia"/>
        </w:rPr>
      </w:pPr>
      <w:r>
        <w:rPr>
          <w:b/>
          <w:color w:val="1F4E79"/>
        </w:rPr>
        <w:t xml:space="preserve">• </w:t>
      </w:r>
      <w:r>
        <w:t>privilege — a privilege-level or authority boundary;</w:t>
      </w:r>
    </w:p>
    <w:p w14:paraId="3493CFF0" w14:textId="77777777" w:rsidR="00786459" w:rsidRDefault="00000000">
      <w:pPr>
        <w:ind w:left="360" w:hanging="259"/>
        <w:rPr>
          <w:rFonts w:hint="eastAsia"/>
        </w:rPr>
      </w:pPr>
      <w:r>
        <w:rPr>
          <w:b/>
          <w:color w:val="1F4E79"/>
        </w:rPr>
        <w:t xml:space="preserve">• </w:t>
      </w:r>
      <w:r>
        <w:t>process — a process isolation boundary;</w:t>
      </w:r>
    </w:p>
    <w:p w14:paraId="259CF26C" w14:textId="77777777" w:rsidR="00786459" w:rsidRDefault="00000000">
      <w:pPr>
        <w:ind w:left="360" w:hanging="259"/>
        <w:rPr>
          <w:rFonts w:hint="eastAsia"/>
        </w:rPr>
      </w:pPr>
      <w:r>
        <w:rPr>
          <w:b/>
          <w:color w:val="1F4E79"/>
        </w:rPr>
        <w:t xml:space="preserve">• </w:t>
      </w:r>
      <w:r>
        <w:t>hypervisor — a guest-to-hypervisor or hypervisor-to-guest isolation boundary.</w:t>
      </w:r>
    </w:p>
    <w:p w14:paraId="110CD09C" w14:textId="77777777" w:rsidR="00786459" w:rsidRDefault="00000000">
      <w:pPr>
        <w:rPr>
          <w:rFonts w:hint="eastAsia"/>
        </w:rPr>
      </w:pPr>
      <w:r>
        <w:t>Memory-centric notation is intentionally deferred from v2.1. Some hardware-enforced memory domains may warrant future treatment, but probabilistic mitigations and mitigation bypasses do not fit cleanly into the same boundary model and should not be forced into it here.</w:t>
      </w:r>
    </w:p>
    <w:p w14:paraId="33ABAD11" w14:textId="77777777" w:rsidR="00786459" w:rsidRDefault="00000000">
      <w:pPr>
        <w:pStyle w:val="berschrift2"/>
      </w:pPr>
      <w:r>
        <w:t>6.4 Core semantics</w:t>
      </w:r>
    </w:p>
    <w:p w14:paraId="5C1B2816" w14:textId="77777777" w:rsidR="00786459" w:rsidRDefault="00000000">
      <w:pPr>
        <w:ind w:left="360" w:hanging="259"/>
        <w:rPr>
          <w:rFonts w:hint="eastAsia"/>
        </w:rPr>
      </w:pPr>
      <w:r>
        <w:rPr>
          <w:b/>
          <w:color w:val="1F4E79"/>
        </w:rPr>
        <w:t xml:space="preserve">• </w:t>
      </w:r>
      <w:r>
        <w:t>The operator identifies an internal containment boundary crossed during a step.</w:t>
      </w:r>
    </w:p>
    <w:p w14:paraId="18DDB5B4" w14:textId="77777777" w:rsidR="00786459" w:rsidRDefault="00000000">
      <w:pPr>
        <w:ind w:left="360" w:hanging="259"/>
        <w:rPr>
          <w:rFonts w:hint="eastAsia"/>
        </w:rPr>
      </w:pPr>
      <w:r>
        <w:rPr>
          <w:b/>
          <w:color w:val="1F4E79"/>
        </w:rPr>
        <w:lastRenderedPageBreak/>
        <w:t xml:space="preserve">• </w:t>
      </w:r>
      <w:r>
        <w:t>The operator does not define the threat category of the step.</w:t>
      </w:r>
    </w:p>
    <w:p w14:paraId="0C90687A" w14:textId="77777777" w:rsidR="00786459" w:rsidRDefault="00000000">
      <w:pPr>
        <w:ind w:left="360" w:hanging="259"/>
        <w:rPr>
          <w:rFonts w:hint="eastAsia"/>
        </w:rPr>
      </w:pPr>
      <w:r>
        <w:rPr>
          <w:b/>
          <w:color w:val="1F4E79"/>
        </w:rPr>
        <w:t xml:space="preserve">• </w:t>
      </w:r>
      <w:r>
        <w:t>The operator is valuable when forensic or vendor-facing analysis needs to preserve containment-failure structure that would otherwise flatten into a single opaque exploit description.</w:t>
      </w:r>
    </w:p>
    <w:p w14:paraId="1B04B8A2" w14:textId="77777777" w:rsidR="00786459" w:rsidRDefault="00000000">
      <w:pPr>
        <w:ind w:left="360" w:hanging="259"/>
        <w:rPr>
          <w:rFonts w:hint="eastAsia"/>
        </w:rPr>
      </w:pPr>
      <w:r>
        <w:rPr>
          <w:b/>
          <w:color w:val="1F4E79"/>
        </w:rPr>
        <w:t xml:space="preserve">• </w:t>
      </w:r>
      <w:r>
        <w:t>At the strategic layer, the base cluster sequence often remains sufficient and the operator may be omitted.</w:t>
      </w:r>
    </w:p>
    <w:p w14:paraId="1F2BEE0E" w14:textId="77777777" w:rsidR="00786459" w:rsidRDefault="00000000">
      <w:pPr>
        <w:pStyle w:val="berschrift2"/>
      </w:pPr>
      <w:r>
        <w:t>6.5 Normative rules</w:t>
      </w:r>
    </w:p>
    <w:p w14:paraId="73584256" w14:textId="77777777" w:rsidR="00786459" w:rsidRDefault="00000000">
      <w:pPr>
        <w:pStyle w:val="Rule"/>
        <w:keepLines/>
        <w:rPr>
          <w:rFonts w:hint="eastAsia"/>
        </w:rPr>
      </w:pPr>
      <w:r>
        <w:rPr>
          <w:b/>
          <w:color w:val="1F4E79"/>
        </w:rPr>
        <w:t xml:space="preserve">R-INTRA-1. </w:t>
      </w:r>
      <w:r>
        <w:t>Single-system scope. The operator MUST be used only for boundaries within a single system instance.</w:t>
      </w:r>
    </w:p>
    <w:p w14:paraId="1BF5C060" w14:textId="77777777" w:rsidR="00786459" w:rsidRDefault="00000000">
      <w:pPr>
        <w:pStyle w:val="Rule"/>
        <w:keepLines/>
        <w:rPr>
          <w:rFonts w:hint="eastAsia"/>
        </w:rPr>
      </w:pPr>
      <w:r>
        <w:rPr>
          <w:b/>
          <w:color w:val="1F4E79"/>
        </w:rPr>
        <w:t xml:space="preserve">R-INTRA-2. </w:t>
      </w:r>
      <w:r>
        <w:t>Cluster attachment. The operator MUST be attached to the cluster step that accomplishes the crossing.</w:t>
      </w:r>
    </w:p>
    <w:p w14:paraId="3DE1E257" w14:textId="77777777" w:rsidR="00786459" w:rsidRDefault="00000000">
      <w:pPr>
        <w:pStyle w:val="Rule"/>
        <w:keepLines/>
        <w:rPr>
          <w:rFonts w:hint="eastAsia"/>
        </w:rPr>
      </w:pPr>
      <w:r>
        <w:rPr>
          <w:b/>
          <w:color w:val="1F4E79"/>
        </w:rPr>
        <w:t xml:space="preserve">R-INTRA-3. </w:t>
      </w:r>
      <w:r>
        <w:t>No standalone use. The operator MUST NOT appear without an associated cluster step.</w:t>
      </w:r>
    </w:p>
    <w:p w14:paraId="1DB4F7AD" w14:textId="77777777" w:rsidR="00786459" w:rsidRDefault="00000000">
      <w:pPr>
        <w:pStyle w:val="Rule"/>
        <w:keepLines/>
        <w:rPr>
          <w:rFonts w:hint="eastAsia"/>
        </w:rPr>
      </w:pPr>
      <w:r>
        <w:rPr>
          <w:b/>
          <w:color w:val="1F4E79"/>
        </w:rPr>
        <w:t xml:space="preserve">R-INTRA-4. </w:t>
      </w:r>
      <w:r>
        <w:t>No cluster change. The operator MUST NOT change cluster classification.</w:t>
      </w:r>
    </w:p>
    <w:p w14:paraId="428E7A0B" w14:textId="77777777" w:rsidR="00786459" w:rsidRDefault="00000000">
      <w:pPr>
        <w:pStyle w:val="Rule"/>
        <w:keepLines/>
        <w:rPr>
          <w:rFonts w:hint="eastAsia"/>
        </w:rPr>
      </w:pPr>
      <w:r>
        <w:rPr>
          <w:b/>
          <w:color w:val="1F4E79"/>
        </w:rPr>
        <w:t xml:space="preserve">R-INTRA-5. </w:t>
      </w:r>
      <w:r>
        <w:t>Optional precision. The operator is OPTIONAL and is mainly recommended for forensic, exploit-analysis, or vendor-facing use.</w:t>
      </w:r>
    </w:p>
    <w:p w14:paraId="6EECDBCC" w14:textId="77777777" w:rsidR="00786459" w:rsidRDefault="00000000">
      <w:pPr>
        <w:pStyle w:val="Rule"/>
        <w:keepLines/>
        <w:rPr>
          <w:rFonts w:hint="eastAsia"/>
        </w:rPr>
      </w:pPr>
      <w:r>
        <w:rPr>
          <w:b/>
          <w:color w:val="1F4E79"/>
        </w:rPr>
        <w:t xml:space="preserve">R-INTRA-6. </w:t>
      </w:r>
      <w:r>
        <w:t>Multiple crossings. Multiple intra-system annotations MAY follow one step when a compressed representation is justified by the evidence.</w:t>
      </w:r>
    </w:p>
    <w:p w14:paraId="0FB91F38" w14:textId="77777777" w:rsidR="00786459" w:rsidRDefault="00000000">
      <w:pPr>
        <w:pStyle w:val="Rule"/>
        <w:keepLines/>
        <w:rPr>
          <w:rFonts w:hint="eastAsia"/>
        </w:rPr>
      </w:pPr>
      <w:r>
        <w:rPr>
          <w:b/>
          <w:color w:val="1F4E79"/>
        </w:rPr>
        <w:t xml:space="preserve">R-INTRA-7. </w:t>
      </w:r>
      <w:r>
        <w:t>Distinct vulnerabilities require distinct steps. If a crossing is achieved by exploiting a separately evidenced distinct vulnerability, a new cluster step MUST be added. The annotation alone is insufficient.</w:t>
      </w:r>
    </w:p>
    <w:p w14:paraId="4BEF4F6E" w14:textId="77777777" w:rsidR="00786459" w:rsidRDefault="00000000">
      <w:pPr>
        <w:pStyle w:val="Rule"/>
        <w:keepLines/>
        <w:rPr>
          <w:rFonts w:hint="eastAsia"/>
        </w:rPr>
      </w:pPr>
      <w:r>
        <w:rPr>
          <w:b/>
          <w:color w:val="1F4E79"/>
        </w:rPr>
        <w:t xml:space="preserve">R-INTRA-8. </w:t>
      </w:r>
      <w:r>
        <w:t>Compressed form under uncertainty. If evidence shows multiple internal crossings but does not distinguish separate exploit causes at each crossing, a compressed single-step form MAY be used.</w:t>
      </w:r>
    </w:p>
    <w:p w14:paraId="36C70F9F" w14:textId="77777777" w:rsidR="00786459" w:rsidRDefault="00000000">
      <w:pPr>
        <w:pStyle w:val="Rule"/>
        <w:keepLines/>
        <w:rPr>
          <w:rFonts w:hint="eastAsia"/>
        </w:rPr>
      </w:pPr>
      <w:r>
        <w:rPr>
          <w:b/>
          <w:color w:val="1F4E79"/>
        </w:rPr>
        <w:t xml:space="preserve">R-INTRA-9. </w:t>
      </w:r>
      <w:r>
        <w:t>Anti-effect rule. Privilege escalation, sandbox escape, process pivot, and hypervisor escape MUST NOT be modeled as independent threat categories. Every annotated internal crossing remains subordinate to a #1–#10 cluster step.</w:t>
      </w:r>
    </w:p>
    <w:p w14:paraId="0DAF0661" w14:textId="77777777" w:rsidR="00786459" w:rsidRDefault="00000000">
      <w:pPr>
        <w:pStyle w:val="berschrift2"/>
      </w:pPr>
      <w:r>
        <w:t>6.6 Compressed versus expanded form</w:t>
      </w:r>
    </w:p>
    <w:tbl>
      <w:tblPr>
        <w:tblW w:w="0" w:type="auto"/>
        <w:jc w:val="center"/>
        <w:tblLayout w:type="fixed"/>
        <w:tblLook w:val="04A0" w:firstRow="1" w:lastRow="0" w:firstColumn="1" w:lastColumn="0" w:noHBand="0" w:noVBand="1"/>
      </w:tblPr>
      <w:tblGrid>
        <w:gridCol w:w="9461"/>
      </w:tblGrid>
      <w:tr w:rsidR="00786459" w14:paraId="00A987A5" w14:textId="77777777">
        <w:trPr>
          <w:jc w:val="center"/>
        </w:trPr>
        <w:tc>
          <w:tcPr>
            <w:tcW w:w="9461" w:type="dxa"/>
            <w:shd w:val="clear" w:color="auto" w:fill="F3F6F9"/>
            <w:tcMar>
              <w:top w:w="90" w:type="dxa"/>
              <w:left w:w="120" w:type="dxa"/>
              <w:bottom w:w="90" w:type="dxa"/>
              <w:right w:w="120" w:type="dxa"/>
            </w:tcMar>
          </w:tcPr>
          <w:p w14:paraId="0E9472E2" w14:textId="77777777" w:rsidR="00786459" w:rsidRDefault="00000000">
            <w:pPr>
              <w:pStyle w:val="CodeBlock"/>
              <w:spacing w:after="0"/>
              <w:rPr>
                <w:rFonts w:hint="eastAsia"/>
              </w:rPr>
            </w:pPr>
            <w:r>
              <w:t>Compressed form</w:t>
            </w:r>
          </w:p>
          <w:p w14:paraId="7008120E" w14:textId="77777777" w:rsidR="00786459" w:rsidRDefault="00000000">
            <w:pPr>
              <w:pStyle w:val="CodeBlock"/>
              <w:spacing w:after="0"/>
              <w:rPr>
                <w:rFonts w:hint="eastAsia"/>
              </w:rPr>
            </w:pPr>
            <w:r>
              <w:t>#3 |[sandbox][@A→@B]| |[privilege][@user→@root]| → #7</w:t>
            </w:r>
          </w:p>
        </w:tc>
      </w:tr>
    </w:tbl>
    <w:p w14:paraId="02C56F6E" w14:textId="77777777" w:rsidR="00786459" w:rsidRDefault="00786459">
      <w:pPr>
        <w:pStyle w:val="Small"/>
        <w:rPr>
          <w:rFonts w:hint="eastAsia"/>
        </w:rPr>
      </w:pPr>
    </w:p>
    <w:tbl>
      <w:tblPr>
        <w:tblW w:w="0" w:type="auto"/>
        <w:jc w:val="center"/>
        <w:tblLayout w:type="fixed"/>
        <w:tblLook w:val="04A0" w:firstRow="1" w:lastRow="0" w:firstColumn="1" w:lastColumn="0" w:noHBand="0" w:noVBand="1"/>
      </w:tblPr>
      <w:tblGrid>
        <w:gridCol w:w="9461"/>
      </w:tblGrid>
      <w:tr w:rsidR="00786459" w14:paraId="6440BA8A" w14:textId="77777777">
        <w:trPr>
          <w:jc w:val="center"/>
        </w:trPr>
        <w:tc>
          <w:tcPr>
            <w:tcW w:w="9461" w:type="dxa"/>
            <w:shd w:val="clear" w:color="auto" w:fill="F3F6F9"/>
            <w:tcMar>
              <w:top w:w="90" w:type="dxa"/>
              <w:left w:w="120" w:type="dxa"/>
              <w:bottom w:w="90" w:type="dxa"/>
              <w:right w:w="120" w:type="dxa"/>
            </w:tcMar>
          </w:tcPr>
          <w:p w14:paraId="6B508210" w14:textId="77777777" w:rsidR="00786459" w:rsidRDefault="00000000">
            <w:pPr>
              <w:pStyle w:val="CodeBlock"/>
              <w:spacing w:after="0"/>
              <w:rPr>
                <w:rFonts w:hint="eastAsia"/>
              </w:rPr>
            </w:pPr>
            <w:r>
              <w:t>Expanded form</w:t>
            </w:r>
          </w:p>
          <w:p w14:paraId="0A9A8082" w14:textId="77777777" w:rsidR="00786459" w:rsidRDefault="00000000">
            <w:pPr>
              <w:pStyle w:val="CodeBlock"/>
              <w:spacing w:after="0"/>
              <w:rPr>
                <w:rFonts w:hint="eastAsia"/>
              </w:rPr>
            </w:pPr>
            <w:r>
              <w:t>#3 |[sandbox][@A→@B]| → #3 |[privilege][@user→@root]| → #7</w:t>
            </w:r>
          </w:p>
        </w:tc>
      </w:tr>
    </w:tbl>
    <w:p w14:paraId="22412CA2" w14:textId="77777777" w:rsidR="00786459" w:rsidRDefault="00786459">
      <w:pPr>
        <w:pStyle w:val="Small"/>
        <w:rPr>
          <w:rFonts w:hint="eastAsia"/>
        </w:rPr>
      </w:pPr>
    </w:p>
    <w:p w14:paraId="3959F6ED" w14:textId="77777777" w:rsidR="00786459" w:rsidRDefault="00000000">
      <w:pPr>
        <w:rPr>
          <w:rFonts w:hint="eastAsia"/>
        </w:rPr>
      </w:pPr>
      <w:r>
        <w:t>The expanded form is always safe. The compressed form is acceptable only when evidence does not support a stronger decomposition.</w:t>
      </w:r>
    </w:p>
    <w:p w14:paraId="4B62C527" w14:textId="77777777" w:rsidR="00786459" w:rsidRDefault="00000000">
      <w:pPr>
        <w:pStyle w:val="berschrift2"/>
      </w:pPr>
      <w:r>
        <w:t>6.7 Relationship to the v2.0 ring model</w:t>
      </w:r>
    </w:p>
    <w:p w14:paraId="273247F4" w14:textId="77777777" w:rsidR="00786459" w:rsidRDefault="00000000">
      <w:pPr>
        <w:rPr>
          <w:rFonts w:hint="eastAsia"/>
        </w:rPr>
      </w:pPr>
      <w:r>
        <w:t>The privilege boundary type formalizes internal ring-like privilege transitions already implicit in TLCTC’s component and protection-boundary thinking. The sandbox and process types extend that logic to modern operating-system isolation primitives that do not map neatly to the classic ring vocabulary.</w:t>
      </w:r>
    </w:p>
    <w:p w14:paraId="4EFF2CDD" w14:textId="77777777" w:rsidR="00786459" w:rsidRDefault="00000000">
      <w:pPr>
        <w:pStyle w:val="berschrift1"/>
      </w:pPr>
      <w:r>
        <w:t>7. Composition and notation behavior</w:t>
      </w:r>
    </w:p>
    <w:p w14:paraId="2E68F03B" w14:textId="77777777" w:rsidR="00786459" w:rsidRDefault="00000000">
      <w:pPr>
        <w:pStyle w:val="berschrift2"/>
      </w:pPr>
      <w:r>
        <w:t>7.1 Operator inventory</w:t>
      </w:r>
    </w:p>
    <w:tbl>
      <w:tblPr>
        <w:tblStyle w:val="Tabellenraster"/>
        <w:tblW w:w="0" w:type="auto"/>
        <w:jc w:val="center"/>
        <w:tblLayout w:type="fixed"/>
        <w:tblLook w:val="04A0" w:firstRow="1" w:lastRow="0" w:firstColumn="1" w:lastColumn="0" w:noHBand="0" w:noVBand="1"/>
      </w:tblPr>
      <w:tblGrid>
        <w:gridCol w:w="3168"/>
        <w:gridCol w:w="4968"/>
        <w:gridCol w:w="936"/>
      </w:tblGrid>
      <w:tr w:rsidR="00786459" w14:paraId="7990BDA2" w14:textId="77777777">
        <w:trPr>
          <w:jc w:val="center"/>
        </w:trPr>
        <w:tc>
          <w:tcPr>
            <w:tcW w:w="3168" w:type="dxa"/>
            <w:shd w:val="clear" w:color="auto" w:fill="EAF0F6"/>
            <w:tcMar>
              <w:top w:w="80" w:type="dxa"/>
              <w:left w:w="90" w:type="dxa"/>
              <w:bottom w:w="80" w:type="dxa"/>
              <w:right w:w="90" w:type="dxa"/>
            </w:tcMar>
            <w:vAlign w:val="center"/>
          </w:tcPr>
          <w:p w14:paraId="0AD4C806" w14:textId="77777777" w:rsidR="00786459" w:rsidRDefault="00000000">
            <w:pPr>
              <w:rPr>
                <w:rFonts w:hint="eastAsia"/>
              </w:rPr>
            </w:pPr>
            <w:r>
              <w:rPr>
                <w:b/>
                <w:color w:val="1F4E79"/>
                <w:sz w:val="18"/>
              </w:rPr>
              <w:t>Operator</w:t>
            </w:r>
          </w:p>
        </w:tc>
        <w:tc>
          <w:tcPr>
            <w:tcW w:w="4968" w:type="dxa"/>
            <w:shd w:val="clear" w:color="auto" w:fill="EAF0F6"/>
            <w:tcMar>
              <w:top w:w="80" w:type="dxa"/>
              <w:left w:w="90" w:type="dxa"/>
              <w:bottom w:w="80" w:type="dxa"/>
              <w:right w:w="90" w:type="dxa"/>
            </w:tcMar>
            <w:vAlign w:val="center"/>
          </w:tcPr>
          <w:p w14:paraId="200A57B0" w14:textId="77777777" w:rsidR="00786459" w:rsidRDefault="00000000">
            <w:pPr>
              <w:rPr>
                <w:rFonts w:hint="eastAsia"/>
              </w:rPr>
            </w:pPr>
            <w:r>
              <w:rPr>
                <w:b/>
                <w:color w:val="1F4E79"/>
                <w:sz w:val="18"/>
              </w:rPr>
              <w:t>Meaning</w:t>
            </w:r>
          </w:p>
        </w:tc>
        <w:tc>
          <w:tcPr>
            <w:tcW w:w="936" w:type="dxa"/>
            <w:shd w:val="clear" w:color="auto" w:fill="EAF0F6"/>
            <w:tcMar>
              <w:top w:w="80" w:type="dxa"/>
              <w:left w:w="90" w:type="dxa"/>
              <w:bottom w:w="80" w:type="dxa"/>
              <w:right w:w="90" w:type="dxa"/>
            </w:tcMar>
            <w:vAlign w:val="center"/>
          </w:tcPr>
          <w:p w14:paraId="47D2B5AE" w14:textId="77777777" w:rsidR="00786459" w:rsidRDefault="00000000">
            <w:pPr>
              <w:rPr>
                <w:rFonts w:hint="eastAsia"/>
              </w:rPr>
            </w:pPr>
            <w:r>
              <w:rPr>
                <w:b/>
                <w:color w:val="1F4E79"/>
                <w:sz w:val="18"/>
              </w:rPr>
              <w:t>Version</w:t>
            </w:r>
          </w:p>
        </w:tc>
      </w:tr>
      <w:tr w:rsidR="00786459" w14:paraId="54D572D8" w14:textId="77777777">
        <w:trPr>
          <w:jc w:val="center"/>
        </w:trPr>
        <w:tc>
          <w:tcPr>
            <w:tcW w:w="3168" w:type="dxa"/>
            <w:vAlign w:val="center"/>
          </w:tcPr>
          <w:p w14:paraId="40C7DF7F" w14:textId="77777777" w:rsidR="00786459" w:rsidRDefault="00000000">
            <w:pPr>
              <w:rPr>
                <w:rFonts w:hint="eastAsia"/>
              </w:rPr>
            </w:pPr>
            <w:r>
              <w:rPr>
                <w:rFonts w:ascii="Consolas" w:hAnsi="Consolas"/>
                <w:sz w:val="17"/>
              </w:rPr>
              <w:t>#X → #Y</w:t>
            </w:r>
          </w:p>
        </w:tc>
        <w:tc>
          <w:tcPr>
            <w:tcW w:w="4968" w:type="dxa"/>
            <w:vAlign w:val="center"/>
          </w:tcPr>
          <w:p w14:paraId="4ED5D77D" w14:textId="77777777" w:rsidR="00786459" w:rsidRDefault="00000000">
            <w:pPr>
              <w:rPr>
                <w:rFonts w:hint="eastAsia"/>
              </w:rPr>
            </w:pPr>
            <w:r>
              <w:rPr>
                <w:sz w:val="18"/>
              </w:rPr>
              <w:t>Sequential attack steps</w:t>
            </w:r>
          </w:p>
        </w:tc>
        <w:tc>
          <w:tcPr>
            <w:tcW w:w="936" w:type="dxa"/>
            <w:vAlign w:val="center"/>
          </w:tcPr>
          <w:p w14:paraId="7CB8B3C4" w14:textId="77777777" w:rsidR="00786459" w:rsidRDefault="00000000">
            <w:pPr>
              <w:rPr>
                <w:rFonts w:hint="eastAsia"/>
              </w:rPr>
            </w:pPr>
            <w:r>
              <w:rPr>
                <w:sz w:val="18"/>
              </w:rPr>
              <w:t>v2.0</w:t>
            </w:r>
          </w:p>
        </w:tc>
      </w:tr>
      <w:tr w:rsidR="00786459" w14:paraId="4F58B922" w14:textId="77777777">
        <w:trPr>
          <w:jc w:val="center"/>
        </w:trPr>
        <w:tc>
          <w:tcPr>
            <w:tcW w:w="3168" w:type="dxa"/>
            <w:vAlign w:val="center"/>
          </w:tcPr>
          <w:p w14:paraId="1BA3A010" w14:textId="77777777" w:rsidR="00786459" w:rsidRDefault="00000000">
            <w:pPr>
              <w:rPr>
                <w:rFonts w:hint="eastAsia"/>
              </w:rPr>
            </w:pPr>
            <w:r>
              <w:rPr>
                <w:rFonts w:ascii="Consolas" w:hAnsi="Consolas"/>
                <w:sz w:val="17"/>
              </w:rPr>
              <w:t>(#X + #Y)</w:t>
            </w:r>
          </w:p>
        </w:tc>
        <w:tc>
          <w:tcPr>
            <w:tcW w:w="4968" w:type="dxa"/>
            <w:vAlign w:val="center"/>
          </w:tcPr>
          <w:p w14:paraId="6F404640" w14:textId="77777777" w:rsidR="00786459" w:rsidRDefault="00000000">
            <w:pPr>
              <w:rPr>
                <w:rFonts w:hint="eastAsia"/>
              </w:rPr>
            </w:pPr>
            <w:r>
              <w:rPr>
                <w:sz w:val="18"/>
              </w:rPr>
              <w:t>Parallel or combined steps</w:t>
            </w:r>
          </w:p>
        </w:tc>
        <w:tc>
          <w:tcPr>
            <w:tcW w:w="936" w:type="dxa"/>
            <w:vAlign w:val="center"/>
          </w:tcPr>
          <w:p w14:paraId="0FD3E72F" w14:textId="77777777" w:rsidR="00786459" w:rsidRDefault="00000000">
            <w:pPr>
              <w:rPr>
                <w:rFonts w:hint="eastAsia"/>
              </w:rPr>
            </w:pPr>
            <w:r>
              <w:rPr>
                <w:sz w:val="18"/>
              </w:rPr>
              <w:t>v2.0</w:t>
            </w:r>
          </w:p>
        </w:tc>
      </w:tr>
      <w:tr w:rsidR="00786459" w14:paraId="26BD7290" w14:textId="77777777">
        <w:trPr>
          <w:jc w:val="center"/>
        </w:trPr>
        <w:tc>
          <w:tcPr>
            <w:tcW w:w="3168" w:type="dxa"/>
            <w:vAlign w:val="center"/>
          </w:tcPr>
          <w:p w14:paraId="19C33CFF" w14:textId="77777777" w:rsidR="00786459" w:rsidRDefault="00000000">
            <w:pPr>
              <w:rPr>
                <w:rFonts w:hint="eastAsia"/>
              </w:rPr>
            </w:pPr>
            <w:r>
              <w:rPr>
                <w:rFonts w:ascii="Consolas" w:hAnsi="Consolas"/>
                <w:sz w:val="17"/>
              </w:rPr>
              <w:lastRenderedPageBreak/>
              <w:t>→[Δt=value]→</w:t>
            </w:r>
          </w:p>
        </w:tc>
        <w:tc>
          <w:tcPr>
            <w:tcW w:w="4968" w:type="dxa"/>
            <w:vAlign w:val="center"/>
          </w:tcPr>
          <w:p w14:paraId="7207CED6" w14:textId="77777777" w:rsidR="00786459" w:rsidRDefault="00000000">
            <w:pPr>
              <w:rPr>
                <w:rFonts w:hint="eastAsia"/>
              </w:rPr>
            </w:pPr>
            <w:r>
              <w:rPr>
                <w:sz w:val="18"/>
              </w:rPr>
              <w:t>Temporal gap or velocity annotation</w:t>
            </w:r>
          </w:p>
        </w:tc>
        <w:tc>
          <w:tcPr>
            <w:tcW w:w="936" w:type="dxa"/>
            <w:vAlign w:val="center"/>
          </w:tcPr>
          <w:p w14:paraId="3096DD88" w14:textId="77777777" w:rsidR="00786459" w:rsidRDefault="00000000">
            <w:pPr>
              <w:rPr>
                <w:rFonts w:hint="eastAsia"/>
              </w:rPr>
            </w:pPr>
            <w:r>
              <w:rPr>
                <w:sz w:val="18"/>
              </w:rPr>
              <w:t>v2.0</w:t>
            </w:r>
          </w:p>
        </w:tc>
      </w:tr>
      <w:tr w:rsidR="00786459" w14:paraId="745C140C" w14:textId="77777777">
        <w:trPr>
          <w:jc w:val="center"/>
        </w:trPr>
        <w:tc>
          <w:tcPr>
            <w:tcW w:w="3168" w:type="dxa"/>
            <w:vAlign w:val="center"/>
          </w:tcPr>
          <w:p w14:paraId="4CE0D514" w14:textId="77777777" w:rsidR="00786459" w:rsidRDefault="00000000">
            <w:pPr>
              <w:rPr>
                <w:rFonts w:hint="eastAsia"/>
              </w:rPr>
            </w:pPr>
            <w:r>
              <w:rPr>
                <w:rFonts w:ascii="Consolas" w:hAnsi="Consolas"/>
                <w:sz w:val="17"/>
              </w:rPr>
              <w:t>+ [DRE: X]</w:t>
            </w:r>
          </w:p>
        </w:tc>
        <w:tc>
          <w:tcPr>
            <w:tcW w:w="4968" w:type="dxa"/>
            <w:vAlign w:val="center"/>
          </w:tcPr>
          <w:p w14:paraId="685B4724" w14:textId="77777777" w:rsidR="00786459" w:rsidRDefault="00000000">
            <w:pPr>
              <w:rPr>
                <w:rFonts w:hint="eastAsia"/>
              </w:rPr>
            </w:pPr>
            <w:r>
              <w:rPr>
                <w:sz w:val="18"/>
              </w:rPr>
              <w:t>Data risk event annotation</w:t>
            </w:r>
          </w:p>
        </w:tc>
        <w:tc>
          <w:tcPr>
            <w:tcW w:w="936" w:type="dxa"/>
            <w:vAlign w:val="center"/>
          </w:tcPr>
          <w:p w14:paraId="10C518FB" w14:textId="77777777" w:rsidR="00786459" w:rsidRDefault="00000000">
            <w:pPr>
              <w:rPr>
                <w:rFonts w:hint="eastAsia"/>
              </w:rPr>
            </w:pPr>
            <w:r>
              <w:rPr>
                <w:sz w:val="18"/>
              </w:rPr>
              <w:t>v2.0</w:t>
            </w:r>
          </w:p>
        </w:tc>
      </w:tr>
      <w:tr w:rsidR="00786459" w14:paraId="34A0138A" w14:textId="77777777">
        <w:trPr>
          <w:jc w:val="center"/>
        </w:trPr>
        <w:tc>
          <w:tcPr>
            <w:tcW w:w="3168" w:type="dxa"/>
            <w:vAlign w:val="center"/>
          </w:tcPr>
          <w:p w14:paraId="0B79F96A" w14:textId="77777777" w:rsidR="00786459" w:rsidRDefault="00000000">
            <w:pPr>
              <w:rPr>
                <w:rFonts w:hint="eastAsia"/>
              </w:rPr>
            </w:pPr>
            <w:r>
              <w:rPr>
                <w:rFonts w:ascii="Consolas" w:hAnsi="Consolas"/>
                <w:sz w:val="17"/>
              </w:rPr>
              <w:t>||[ctx][@A→@B]||</w:t>
            </w:r>
          </w:p>
        </w:tc>
        <w:tc>
          <w:tcPr>
            <w:tcW w:w="4968" w:type="dxa"/>
            <w:vAlign w:val="center"/>
          </w:tcPr>
          <w:p w14:paraId="6161FE18" w14:textId="77777777" w:rsidR="00786459" w:rsidRDefault="00000000">
            <w:pPr>
              <w:rPr>
                <w:rFonts w:hint="eastAsia"/>
              </w:rPr>
            </w:pPr>
            <w:r>
              <w:rPr>
                <w:sz w:val="18"/>
              </w:rPr>
              <w:t>Binary inter-organizational boundary</w:t>
            </w:r>
          </w:p>
        </w:tc>
        <w:tc>
          <w:tcPr>
            <w:tcW w:w="936" w:type="dxa"/>
            <w:vAlign w:val="center"/>
          </w:tcPr>
          <w:p w14:paraId="075DCD77" w14:textId="77777777" w:rsidR="00786459" w:rsidRDefault="00000000">
            <w:pPr>
              <w:rPr>
                <w:rFonts w:hint="eastAsia"/>
              </w:rPr>
            </w:pPr>
            <w:r>
              <w:rPr>
                <w:sz w:val="18"/>
              </w:rPr>
              <w:t>v2.0</w:t>
            </w:r>
          </w:p>
        </w:tc>
      </w:tr>
      <w:tr w:rsidR="00786459" w14:paraId="2A50A029" w14:textId="77777777">
        <w:trPr>
          <w:jc w:val="center"/>
        </w:trPr>
        <w:tc>
          <w:tcPr>
            <w:tcW w:w="3168" w:type="dxa"/>
            <w:vAlign w:val="center"/>
          </w:tcPr>
          <w:p w14:paraId="7C1A6FA5" w14:textId="77777777" w:rsidR="00786459" w:rsidRDefault="00000000">
            <w:pPr>
              <w:rPr>
                <w:rFonts w:hint="eastAsia"/>
              </w:rPr>
            </w:pPr>
            <w:r>
              <w:rPr>
                <w:rFonts w:ascii="Consolas" w:hAnsi="Consolas"/>
                <w:sz w:val="17"/>
              </w:rPr>
              <w:t>||[ctx][@A⇒@T→@B]||</w:t>
            </w:r>
          </w:p>
        </w:tc>
        <w:tc>
          <w:tcPr>
            <w:tcW w:w="4968" w:type="dxa"/>
            <w:vAlign w:val="center"/>
          </w:tcPr>
          <w:p w14:paraId="1D39F6F8" w14:textId="77777777" w:rsidR="00786459" w:rsidRDefault="00000000">
            <w:pPr>
              <w:rPr>
                <w:rFonts w:hint="eastAsia"/>
              </w:rPr>
            </w:pPr>
            <w:r>
              <w:rPr>
                <w:sz w:val="18"/>
              </w:rPr>
              <w:t>Transit boundary</w:t>
            </w:r>
          </w:p>
        </w:tc>
        <w:tc>
          <w:tcPr>
            <w:tcW w:w="936" w:type="dxa"/>
            <w:vAlign w:val="center"/>
          </w:tcPr>
          <w:p w14:paraId="53C43C78" w14:textId="77777777" w:rsidR="00786459" w:rsidRDefault="00000000">
            <w:pPr>
              <w:rPr>
                <w:rFonts w:hint="eastAsia"/>
              </w:rPr>
            </w:pPr>
            <w:r>
              <w:rPr>
                <w:sz w:val="18"/>
              </w:rPr>
              <w:t>v2.1</w:t>
            </w:r>
          </w:p>
        </w:tc>
      </w:tr>
      <w:tr w:rsidR="00786459" w14:paraId="79CD760B" w14:textId="77777777">
        <w:trPr>
          <w:jc w:val="center"/>
        </w:trPr>
        <w:tc>
          <w:tcPr>
            <w:tcW w:w="3168" w:type="dxa"/>
            <w:vAlign w:val="center"/>
          </w:tcPr>
          <w:p w14:paraId="721D1331" w14:textId="77777777" w:rsidR="00786459" w:rsidRDefault="00000000">
            <w:pPr>
              <w:rPr>
                <w:rFonts w:hint="eastAsia"/>
              </w:rPr>
            </w:pPr>
            <w:r>
              <w:rPr>
                <w:rFonts w:ascii="Consolas" w:hAnsi="Consolas"/>
                <w:sz w:val="17"/>
              </w:rPr>
              <w:t>|[type][@X→@Y]|</w:t>
            </w:r>
          </w:p>
        </w:tc>
        <w:tc>
          <w:tcPr>
            <w:tcW w:w="4968" w:type="dxa"/>
            <w:vAlign w:val="center"/>
          </w:tcPr>
          <w:p w14:paraId="607637E2" w14:textId="77777777" w:rsidR="00786459" w:rsidRDefault="00000000">
            <w:pPr>
              <w:rPr>
                <w:rFonts w:hint="eastAsia"/>
              </w:rPr>
            </w:pPr>
            <w:r>
              <w:rPr>
                <w:sz w:val="18"/>
              </w:rPr>
              <w:t>Intra-system boundary</w:t>
            </w:r>
          </w:p>
        </w:tc>
        <w:tc>
          <w:tcPr>
            <w:tcW w:w="936" w:type="dxa"/>
            <w:vAlign w:val="center"/>
          </w:tcPr>
          <w:p w14:paraId="324AC752" w14:textId="77777777" w:rsidR="00786459" w:rsidRDefault="00000000">
            <w:pPr>
              <w:rPr>
                <w:rFonts w:hint="eastAsia"/>
              </w:rPr>
            </w:pPr>
            <w:r>
              <w:rPr>
                <w:sz w:val="18"/>
              </w:rPr>
              <w:t>v2.1</w:t>
            </w:r>
          </w:p>
        </w:tc>
      </w:tr>
    </w:tbl>
    <w:p w14:paraId="5A367B5B" w14:textId="77777777" w:rsidR="00786459" w:rsidRDefault="00786459">
      <w:pPr>
        <w:pStyle w:val="Small"/>
        <w:rPr>
          <w:rFonts w:hint="eastAsia"/>
        </w:rPr>
      </w:pPr>
    </w:p>
    <w:p w14:paraId="77273988" w14:textId="77777777" w:rsidR="00786459" w:rsidRDefault="00000000">
      <w:pPr>
        <w:pStyle w:val="berschrift2"/>
      </w:pPr>
      <w:r>
        <w:t>7.2 Canonical placement order</w:t>
      </w:r>
    </w:p>
    <w:tbl>
      <w:tblPr>
        <w:tblW w:w="0" w:type="auto"/>
        <w:jc w:val="center"/>
        <w:tblLayout w:type="fixed"/>
        <w:tblLook w:val="04A0" w:firstRow="1" w:lastRow="0" w:firstColumn="1" w:lastColumn="0" w:noHBand="0" w:noVBand="1"/>
      </w:tblPr>
      <w:tblGrid>
        <w:gridCol w:w="9461"/>
      </w:tblGrid>
      <w:tr w:rsidR="00786459" w14:paraId="73A81A8F" w14:textId="77777777">
        <w:trPr>
          <w:jc w:val="center"/>
        </w:trPr>
        <w:tc>
          <w:tcPr>
            <w:tcW w:w="9461" w:type="dxa"/>
            <w:shd w:val="clear" w:color="auto" w:fill="F3F6F9"/>
            <w:tcMar>
              <w:top w:w="90" w:type="dxa"/>
              <w:left w:w="120" w:type="dxa"/>
              <w:bottom w:w="90" w:type="dxa"/>
              <w:right w:w="120" w:type="dxa"/>
            </w:tcMar>
          </w:tcPr>
          <w:p w14:paraId="36D710B1" w14:textId="77777777" w:rsidR="00786459" w:rsidRDefault="00000000">
            <w:pPr>
              <w:pStyle w:val="CodeBlock"/>
              <w:spacing w:after="0"/>
              <w:rPr>
                <w:rFonts w:hint="eastAsia"/>
              </w:rPr>
            </w:pPr>
            <w:r>
              <w:t>#X  ||[inter-org boundary]||  |[intra-system boundary]|  →[Δt=value]→  #Y  + [DRE: X]</w:t>
            </w:r>
          </w:p>
        </w:tc>
      </w:tr>
    </w:tbl>
    <w:p w14:paraId="130FCC00" w14:textId="77777777" w:rsidR="00786459" w:rsidRDefault="00786459">
      <w:pPr>
        <w:pStyle w:val="Small"/>
        <w:rPr>
          <w:rFonts w:hint="eastAsia"/>
        </w:rPr>
      </w:pPr>
    </w:p>
    <w:p w14:paraId="6011CCC7" w14:textId="77777777" w:rsidR="00786459" w:rsidRDefault="00000000">
      <w:pPr>
        <w:rPr>
          <w:rFonts w:hint="eastAsia"/>
        </w:rPr>
      </w:pPr>
      <w:r>
        <w:t>This order is recommended because it is stable, readable, and easy to parse. Not all elements need to appear in every step. Use only those that add structural clarity.</w:t>
      </w:r>
    </w:p>
    <w:p w14:paraId="25E9D1A6" w14:textId="77777777" w:rsidR="00786459" w:rsidRDefault="00000000">
      <w:pPr>
        <w:pStyle w:val="berschrift2"/>
      </w:pPr>
      <w:r>
        <w:t>7.3 Stripping behavior</w:t>
      </w:r>
    </w:p>
    <w:p w14:paraId="161CA19A" w14:textId="77777777" w:rsidR="00786459" w:rsidRDefault="00000000">
      <w:pPr>
        <w:rPr>
          <w:rFonts w:hint="eastAsia"/>
        </w:rPr>
      </w:pPr>
      <w:r>
        <w:t>A v2.1-aware implementation SHOULD be able to remove boundary annotations and leave the cluster sequence intact. For example, stripping the v2.1 annotation from “#3 ||[messaging][@Attacker⇒@Apple(iMessage)→@Target]|| |[sandbox][@A→@B]| → #7” yields “#3 → #7”.</w:t>
      </w:r>
    </w:p>
    <w:p w14:paraId="637051AE" w14:textId="77777777" w:rsidR="00786459" w:rsidRDefault="00000000">
      <w:pPr>
        <w:pStyle w:val="berschrift2"/>
      </w:pPr>
      <w:r>
        <w:t>7.4 Responsibility metadata</w:t>
      </w:r>
    </w:p>
    <w:p w14:paraId="66FA7E03" w14:textId="77777777" w:rsidR="00786459" w:rsidRDefault="00000000">
      <w:pPr>
        <w:rPr>
          <w:rFonts w:hint="eastAsia"/>
        </w:rPr>
      </w:pPr>
      <w:r>
        <w:t>Vendor responsibility, control ownership, and boundary-enforcement ownership are analytically important, but they are not equivalent to transit topology. This specification therefore treats responsibility metadata as separate from notation semantics, even when the same named party appears in both contexts.</w:t>
      </w:r>
    </w:p>
    <w:p w14:paraId="32C13852" w14:textId="77777777" w:rsidR="00786459" w:rsidRDefault="00000000">
      <w:pPr>
        <w:pStyle w:val="berschrift1"/>
      </w:pPr>
      <w:r>
        <w:t>8. Serialization profile and formal grammar</w:t>
      </w:r>
    </w:p>
    <w:p w14:paraId="399A659A" w14:textId="77777777" w:rsidR="00786459" w:rsidRDefault="00000000">
      <w:pPr>
        <w:pStyle w:val="berschrift2"/>
      </w:pPr>
      <w:r>
        <w:t>8.1 Canonical Unicode profile</w:t>
      </w:r>
    </w:p>
    <w:p w14:paraId="7338872E" w14:textId="77777777" w:rsidR="00786459" w:rsidRDefault="00000000">
      <w:pPr>
        <w:rPr>
          <w:rFonts w:hint="eastAsia"/>
        </w:rPr>
      </w:pPr>
      <w:r>
        <w:t>Canonical output SHOULD use Unicode forms for the arrow and transit arrow. Input parsers MUST accept both Unicode and the ASCII transport profile defined below.</w:t>
      </w:r>
    </w:p>
    <w:tbl>
      <w:tblPr>
        <w:tblStyle w:val="Tabellenraster"/>
        <w:tblW w:w="0" w:type="auto"/>
        <w:jc w:val="center"/>
        <w:tblLayout w:type="fixed"/>
        <w:tblLook w:val="04A0" w:firstRow="1" w:lastRow="0" w:firstColumn="1" w:lastColumn="0" w:noHBand="0" w:noVBand="1"/>
      </w:tblPr>
      <w:tblGrid>
        <w:gridCol w:w="2880"/>
        <w:gridCol w:w="2160"/>
        <w:gridCol w:w="3744"/>
      </w:tblGrid>
      <w:tr w:rsidR="00786459" w14:paraId="556E3874" w14:textId="77777777">
        <w:trPr>
          <w:jc w:val="center"/>
        </w:trPr>
        <w:tc>
          <w:tcPr>
            <w:tcW w:w="2880" w:type="dxa"/>
            <w:shd w:val="clear" w:color="auto" w:fill="EAF0F6"/>
            <w:tcMar>
              <w:top w:w="80" w:type="dxa"/>
              <w:left w:w="90" w:type="dxa"/>
              <w:bottom w:w="80" w:type="dxa"/>
              <w:right w:w="90" w:type="dxa"/>
            </w:tcMar>
            <w:vAlign w:val="center"/>
          </w:tcPr>
          <w:p w14:paraId="5AA6DF6D" w14:textId="77777777" w:rsidR="00786459" w:rsidRDefault="00000000">
            <w:pPr>
              <w:rPr>
                <w:rFonts w:hint="eastAsia"/>
              </w:rPr>
            </w:pPr>
            <w:r>
              <w:rPr>
                <w:b/>
                <w:color w:val="1F4E79"/>
                <w:sz w:val="18"/>
              </w:rPr>
              <w:t>Concept</w:t>
            </w:r>
          </w:p>
        </w:tc>
        <w:tc>
          <w:tcPr>
            <w:tcW w:w="2160" w:type="dxa"/>
            <w:shd w:val="clear" w:color="auto" w:fill="EAF0F6"/>
            <w:tcMar>
              <w:top w:w="80" w:type="dxa"/>
              <w:left w:w="90" w:type="dxa"/>
              <w:bottom w:w="80" w:type="dxa"/>
              <w:right w:w="90" w:type="dxa"/>
            </w:tcMar>
            <w:vAlign w:val="center"/>
          </w:tcPr>
          <w:p w14:paraId="4ED65235" w14:textId="77777777" w:rsidR="00786459" w:rsidRDefault="00000000">
            <w:pPr>
              <w:rPr>
                <w:rFonts w:hint="eastAsia"/>
              </w:rPr>
            </w:pPr>
            <w:r>
              <w:rPr>
                <w:b/>
                <w:color w:val="1F4E79"/>
                <w:sz w:val="18"/>
              </w:rPr>
              <w:t>Unicode</w:t>
            </w:r>
          </w:p>
        </w:tc>
        <w:tc>
          <w:tcPr>
            <w:tcW w:w="3744" w:type="dxa"/>
            <w:shd w:val="clear" w:color="auto" w:fill="EAF0F6"/>
            <w:tcMar>
              <w:top w:w="80" w:type="dxa"/>
              <w:left w:w="90" w:type="dxa"/>
              <w:bottom w:w="80" w:type="dxa"/>
              <w:right w:w="90" w:type="dxa"/>
            </w:tcMar>
            <w:vAlign w:val="center"/>
          </w:tcPr>
          <w:p w14:paraId="0F1C8D87" w14:textId="77777777" w:rsidR="00786459" w:rsidRDefault="00000000">
            <w:pPr>
              <w:rPr>
                <w:rFonts w:hint="eastAsia"/>
              </w:rPr>
            </w:pPr>
            <w:r>
              <w:rPr>
                <w:b/>
                <w:color w:val="1F4E79"/>
                <w:sz w:val="18"/>
              </w:rPr>
              <w:t>ASCII transport</w:t>
            </w:r>
          </w:p>
        </w:tc>
      </w:tr>
      <w:tr w:rsidR="00786459" w14:paraId="3647422D" w14:textId="77777777">
        <w:trPr>
          <w:jc w:val="center"/>
        </w:trPr>
        <w:tc>
          <w:tcPr>
            <w:tcW w:w="2880" w:type="dxa"/>
            <w:vAlign w:val="center"/>
          </w:tcPr>
          <w:p w14:paraId="00788DC4" w14:textId="77777777" w:rsidR="00786459" w:rsidRDefault="00000000">
            <w:pPr>
              <w:rPr>
                <w:rFonts w:hint="eastAsia"/>
              </w:rPr>
            </w:pPr>
            <w:r>
              <w:rPr>
                <w:sz w:val="18"/>
              </w:rPr>
              <w:t>Sequential arrow</w:t>
            </w:r>
          </w:p>
        </w:tc>
        <w:tc>
          <w:tcPr>
            <w:tcW w:w="2160" w:type="dxa"/>
            <w:vAlign w:val="center"/>
          </w:tcPr>
          <w:p w14:paraId="2BE34097" w14:textId="77777777" w:rsidR="00786459" w:rsidRDefault="00000000">
            <w:pPr>
              <w:rPr>
                <w:rFonts w:hint="eastAsia"/>
              </w:rPr>
            </w:pPr>
            <w:r>
              <w:rPr>
                <w:sz w:val="18"/>
              </w:rPr>
              <w:t>→</w:t>
            </w:r>
          </w:p>
        </w:tc>
        <w:tc>
          <w:tcPr>
            <w:tcW w:w="3744" w:type="dxa"/>
            <w:vAlign w:val="center"/>
          </w:tcPr>
          <w:p w14:paraId="4831B706" w14:textId="77777777" w:rsidR="00786459" w:rsidRDefault="00000000">
            <w:pPr>
              <w:rPr>
                <w:rFonts w:hint="eastAsia"/>
              </w:rPr>
            </w:pPr>
            <w:r>
              <w:rPr>
                <w:sz w:val="18"/>
              </w:rPr>
              <w:t>-&gt;</w:t>
            </w:r>
          </w:p>
        </w:tc>
      </w:tr>
      <w:tr w:rsidR="00786459" w14:paraId="2F01009F" w14:textId="77777777">
        <w:trPr>
          <w:jc w:val="center"/>
        </w:trPr>
        <w:tc>
          <w:tcPr>
            <w:tcW w:w="2880" w:type="dxa"/>
            <w:vAlign w:val="center"/>
          </w:tcPr>
          <w:p w14:paraId="66C2842C" w14:textId="77777777" w:rsidR="00786459" w:rsidRDefault="00000000">
            <w:pPr>
              <w:rPr>
                <w:rFonts w:hint="eastAsia"/>
              </w:rPr>
            </w:pPr>
            <w:r>
              <w:rPr>
                <w:sz w:val="18"/>
              </w:rPr>
              <w:t>Transit arrow</w:t>
            </w:r>
          </w:p>
        </w:tc>
        <w:tc>
          <w:tcPr>
            <w:tcW w:w="2160" w:type="dxa"/>
            <w:vAlign w:val="center"/>
          </w:tcPr>
          <w:p w14:paraId="4F55854B" w14:textId="77777777" w:rsidR="00786459" w:rsidRDefault="00000000">
            <w:pPr>
              <w:rPr>
                <w:rFonts w:hint="eastAsia"/>
              </w:rPr>
            </w:pPr>
            <w:r>
              <w:rPr>
                <w:sz w:val="18"/>
              </w:rPr>
              <w:t>⇒</w:t>
            </w:r>
          </w:p>
        </w:tc>
        <w:tc>
          <w:tcPr>
            <w:tcW w:w="3744" w:type="dxa"/>
            <w:vAlign w:val="center"/>
          </w:tcPr>
          <w:p w14:paraId="1EE76B02" w14:textId="77777777" w:rsidR="00786459" w:rsidRDefault="00000000">
            <w:pPr>
              <w:rPr>
                <w:rFonts w:hint="eastAsia"/>
              </w:rPr>
            </w:pPr>
            <w:r>
              <w:rPr>
                <w:sz w:val="18"/>
              </w:rPr>
              <w:t>=&gt;</w:t>
            </w:r>
          </w:p>
        </w:tc>
      </w:tr>
      <w:tr w:rsidR="00786459" w14:paraId="468FAAB9" w14:textId="77777777">
        <w:trPr>
          <w:jc w:val="center"/>
        </w:trPr>
        <w:tc>
          <w:tcPr>
            <w:tcW w:w="2880" w:type="dxa"/>
            <w:vAlign w:val="center"/>
          </w:tcPr>
          <w:p w14:paraId="5481A5E2" w14:textId="77777777" w:rsidR="00786459" w:rsidRDefault="00000000">
            <w:pPr>
              <w:rPr>
                <w:rFonts w:hint="eastAsia"/>
              </w:rPr>
            </w:pPr>
            <w:r>
              <w:rPr>
                <w:sz w:val="18"/>
              </w:rPr>
              <w:t>Delta-t</w:t>
            </w:r>
          </w:p>
        </w:tc>
        <w:tc>
          <w:tcPr>
            <w:tcW w:w="2160" w:type="dxa"/>
            <w:vAlign w:val="center"/>
          </w:tcPr>
          <w:p w14:paraId="0CC5ABF1" w14:textId="77777777" w:rsidR="00786459" w:rsidRDefault="00000000">
            <w:pPr>
              <w:rPr>
                <w:rFonts w:hint="eastAsia"/>
              </w:rPr>
            </w:pPr>
            <w:r>
              <w:rPr>
                <w:sz w:val="18"/>
              </w:rPr>
              <w:t>Δt</w:t>
            </w:r>
          </w:p>
        </w:tc>
        <w:tc>
          <w:tcPr>
            <w:tcW w:w="3744" w:type="dxa"/>
            <w:vAlign w:val="center"/>
          </w:tcPr>
          <w:p w14:paraId="1661F20D" w14:textId="77777777" w:rsidR="00786459" w:rsidRDefault="00000000">
            <w:pPr>
              <w:rPr>
                <w:rFonts w:hint="eastAsia"/>
              </w:rPr>
            </w:pPr>
            <w:r>
              <w:rPr>
                <w:sz w:val="18"/>
              </w:rPr>
              <w:t>dt</w:t>
            </w:r>
          </w:p>
        </w:tc>
      </w:tr>
      <w:tr w:rsidR="00786459" w14:paraId="10D75DF6" w14:textId="77777777">
        <w:trPr>
          <w:jc w:val="center"/>
        </w:trPr>
        <w:tc>
          <w:tcPr>
            <w:tcW w:w="2880" w:type="dxa"/>
            <w:vAlign w:val="center"/>
          </w:tcPr>
          <w:p w14:paraId="1095586C" w14:textId="77777777" w:rsidR="00786459" w:rsidRDefault="00000000">
            <w:pPr>
              <w:rPr>
                <w:rFonts w:hint="eastAsia"/>
              </w:rPr>
            </w:pPr>
            <w:r>
              <w:rPr>
                <w:sz w:val="18"/>
              </w:rPr>
              <w:t>Inter-org delimiter</w:t>
            </w:r>
          </w:p>
        </w:tc>
        <w:tc>
          <w:tcPr>
            <w:tcW w:w="2160" w:type="dxa"/>
            <w:vAlign w:val="center"/>
          </w:tcPr>
          <w:p w14:paraId="4C6DD936" w14:textId="77777777" w:rsidR="00786459" w:rsidRDefault="00000000">
            <w:pPr>
              <w:rPr>
                <w:rFonts w:hint="eastAsia"/>
              </w:rPr>
            </w:pPr>
            <w:r>
              <w:rPr>
                <w:sz w:val="18"/>
              </w:rPr>
              <w:t>||</w:t>
            </w:r>
          </w:p>
        </w:tc>
        <w:tc>
          <w:tcPr>
            <w:tcW w:w="3744" w:type="dxa"/>
            <w:vAlign w:val="center"/>
          </w:tcPr>
          <w:p w14:paraId="2D32CC61" w14:textId="77777777" w:rsidR="00786459" w:rsidRDefault="00000000">
            <w:pPr>
              <w:rPr>
                <w:rFonts w:hint="eastAsia"/>
              </w:rPr>
            </w:pPr>
            <w:r>
              <w:rPr>
                <w:sz w:val="18"/>
              </w:rPr>
              <w:t>||</w:t>
            </w:r>
          </w:p>
        </w:tc>
      </w:tr>
      <w:tr w:rsidR="00786459" w14:paraId="6F304114" w14:textId="77777777">
        <w:trPr>
          <w:jc w:val="center"/>
        </w:trPr>
        <w:tc>
          <w:tcPr>
            <w:tcW w:w="2880" w:type="dxa"/>
            <w:vAlign w:val="center"/>
          </w:tcPr>
          <w:p w14:paraId="313C6D1A" w14:textId="77777777" w:rsidR="00786459" w:rsidRDefault="00000000">
            <w:pPr>
              <w:rPr>
                <w:rFonts w:hint="eastAsia"/>
              </w:rPr>
            </w:pPr>
            <w:r>
              <w:rPr>
                <w:sz w:val="18"/>
              </w:rPr>
              <w:t>Intra-system delimiter</w:t>
            </w:r>
          </w:p>
        </w:tc>
        <w:tc>
          <w:tcPr>
            <w:tcW w:w="2160" w:type="dxa"/>
            <w:vAlign w:val="center"/>
          </w:tcPr>
          <w:p w14:paraId="763243E7" w14:textId="77777777" w:rsidR="00786459" w:rsidRDefault="00000000">
            <w:pPr>
              <w:rPr>
                <w:rFonts w:hint="eastAsia"/>
              </w:rPr>
            </w:pPr>
            <w:r>
              <w:rPr>
                <w:sz w:val="18"/>
              </w:rPr>
              <w:t>|</w:t>
            </w:r>
          </w:p>
        </w:tc>
        <w:tc>
          <w:tcPr>
            <w:tcW w:w="3744" w:type="dxa"/>
            <w:vAlign w:val="center"/>
          </w:tcPr>
          <w:p w14:paraId="0163DD5F" w14:textId="77777777" w:rsidR="00786459" w:rsidRDefault="00000000">
            <w:pPr>
              <w:rPr>
                <w:rFonts w:hint="eastAsia"/>
              </w:rPr>
            </w:pPr>
            <w:r>
              <w:rPr>
                <w:sz w:val="18"/>
              </w:rPr>
              <w:t>|</w:t>
            </w:r>
          </w:p>
        </w:tc>
      </w:tr>
    </w:tbl>
    <w:p w14:paraId="293D859E" w14:textId="77777777" w:rsidR="00786459" w:rsidRDefault="00786459">
      <w:pPr>
        <w:pStyle w:val="Small"/>
        <w:rPr>
          <w:rFonts w:hint="eastAsia"/>
        </w:rPr>
      </w:pPr>
    </w:p>
    <w:p w14:paraId="383BCC40" w14:textId="77777777" w:rsidR="00786459" w:rsidRDefault="00000000">
      <w:pPr>
        <w:pStyle w:val="berschrift2"/>
      </w:pPr>
      <w:r>
        <w:t>8.2 Parenthetical detail rules</w:t>
      </w:r>
    </w:p>
    <w:p w14:paraId="69178286" w14:textId="77777777" w:rsidR="00786459" w:rsidRDefault="00000000">
      <w:pPr>
        <w:rPr>
          <w:rFonts w:hint="eastAsia"/>
        </w:rPr>
      </w:pPr>
      <w:r>
        <w:t>A party identifier may optionally carry parenthetical detail, for example @Apple(iMessage) or @Target(Safari). Parenthetical content is a precision aid, not a second namespace.</w:t>
      </w:r>
    </w:p>
    <w:p w14:paraId="45F72F43" w14:textId="77777777" w:rsidR="00786459" w:rsidRDefault="00000000">
      <w:pPr>
        <w:ind w:left="360" w:hanging="259"/>
        <w:rPr>
          <w:rFonts w:hint="eastAsia"/>
        </w:rPr>
      </w:pPr>
      <w:r>
        <w:rPr>
          <w:b/>
          <w:color w:val="1F4E79"/>
        </w:rPr>
        <w:t xml:space="preserve">• </w:t>
      </w:r>
      <w:r>
        <w:t>Permitted: letters, digits, spaces, periods, hyphens, underscores, and the @ sign where needed inside parenthetical email content.</w:t>
      </w:r>
    </w:p>
    <w:p w14:paraId="36DCFC5A" w14:textId="77777777" w:rsidR="00786459" w:rsidRDefault="00000000">
      <w:pPr>
        <w:ind w:left="360" w:hanging="259"/>
        <w:rPr>
          <w:rFonts w:hint="eastAsia"/>
        </w:rPr>
      </w:pPr>
      <w:r>
        <w:rPr>
          <w:b/>
          <w:color w:val="1F4E79"/>
        </w:rPr>
        <w:t xml:space="preserve">• </w:t>
      </w:r>
      <w:r>
        <w:t>Prohibited: parentheses, square brackets, pipes, arrows, commas, and semicolons.</w:t>
      </w:r>
    </w:p>
    <w:p w14:paraId="56C9C875" w14:textId="77777777" w:rsidR="00786459" w:rsidRDefault="00000000">
      <w:pPr>
        <w:ind w:left="360" w:hanging="259"/>
        <w:rPr>
          <w:rFonts w:hint="eastAsia"/>
        </w:rPr>
      </w:pPr>
      <w:r>
        <w:rPr>
          <w:b/>
          <w:color w:val="1F4E79"/>
        </w:rPr>
        <w:t xml:space="preserve">• </w:t>
      </w:r>
      <w:r>
        <w:t>Dot notation may be used for nested services such as @Microsoft(AzureAD.OAuth) or @Apple(iCloud.Photostream).</w:t>
      </w:r>
    </w:p>
    <w:p w14:paraId="161C2073" w14:textId="77777777" w:rsidR="00786459" w:rsidRDefault="00000000">
      <w:pPr>
        <w:pStyle w:val="berschrift2"/>
      </w:pPr>
      <w:r>
        <w:lastRenderedPageBreak/>
        <w:t>8.3 Delimiter disambiguation</w:t>
      </w:r>
    </w:p>
    <w:p w14:paraId="50159D7D" w14:textId="77777777" w:rsidR="00786459" w:rsidRDefault="00000000">
      <w:pPr>
        <w:rPr>
          <w:rFonts w:hint="eastAsia"/>
        </w:rPr>
      </w:pPr>
      <w:r>
        <w:t>Two consecutive pipes with no intervening content denote the inter-organizational operator. A single pipe followed by a bracket denotes the intra-system operator. Operators must not be nested inside each other.</w:t>
      </w:r>
    </w:p>
    <w:p w14:paraId="6847A9B6" w14:textId="77777777" w:rsidR="00786459" w:rsidRDefault="00000000">
      <w:pPr>
        <w:pStyle w:val="berschrift2"/>
      </w:pPr>
      <w:r>
        <w:t>8.4 Formal extension grammar</w:t>
      </w:r>
    </w:p>
    <w:p w14:paraId="20469B23" w14:textId="77777777" w:rsidR="00786459" w:rsidRDefault="00000000">
      <w:pPr>
        <w:rPr>
          <w:rFonts w:hint="eastAsia"/>
        </w:rPr>
      </w:pPr>
      <w:r>
        <w:t>The following grammar is normative for the v2.1 extension profile. It is intentionally scoped to the new operators and their composition with the core step skeleton rather than every historical formatting variation that may exist in prose.</w:t>
      </w:r>
    </w:p>
    <w:tbl>
      <w:tblPr>
        <w:tblW w:w="0" w:type="auto"/>
        <w:jc w:val="center"/>
        <w:tblLayout w:type="fixed"/>
        <w:tblLook w:val="04A0" w:firstRow="1" w:lastRow="0" w:firstColumn="1" w:lastColumn="0" w:noHBand="0" w:noVBand="1"/>
      </w:tblPr>
      <w:tblGrid>
        <w:gridCol w:w="9461"/>
      </w:tblGrid>
      <w:tr w:rsidR="00786459" w14:paraId="2E0BF907" w14:textId="77777777">
        <w:trPr>
          <w:jc w:val="center"/>
        </w:trPr>
        <w:tc>
          <w:tcPr>
            <w:tcW w:w="9461" w:type="dxa"/>
            <w:shd w:val="clear" w:color="auto" w:fill="F3F6F9"/>
            <w:tcMar>
              <w:top w:w="90" w:type="dxa"/>
              <w:left w:w="120" w:type="dxa"/>
              <w:bottom w:w="90" w:type="dxa"/>
              <w:right w:w="120" w:type="dxa"/>
            </w:tcMar>
          </w:tcPr>
          <w:p w14:paraId="4FBA5665" w14:textId="77777777" w:rsidR="00786459" w:rsidRDefault="00000000">
            <w:pPr>
              <w:pStyle w:val="CodeBlock"/>
              <w:spacing w:after="0"/>
              <w:rPr>
                <w:rFonts w:hint="eastAsia"/>
              </w:rPr>
            </w:pPr>
            <w:r>
              <w:t>attack-path      = step *( ws? seq ws? step ) [ ws? dre ]</w:t>
            </w:r>
          </w:p>
          <w:p w14:paraId="3A9141E0" w14:textId="77777777" w:rsidR="00786459" w:rsidRDefault="00000000">
            <w:pPr>
              <w:pStyle w:val="CodeBlock"/>
              <w:spacing w:after="0"/>
              <w:rPr>
                <w:rFonts w:hint="eastAsia"/>
              </w:rPr>
            </w:pPr>
            <w:r>
              <w:t>step             = cluster [ ws boundary ] [ ws intra-list ]</w:t>
            </w:r>
          </w:p>
          <w:p w14:paraId="7198F867" w14:textId="77777777" w:rsidR="00786459" w:rsidRDefault="00000000">
            <w:pPr>
              <w:pStyle w:val="CodeBlock"/>
              <w:spacing w:after="0"/>
              <w:rPr>
                <w:rFonts w:hint="eastAsia"/>
              </w:rPr>
            </w:pPr>
            <w:r>
              <w:t>seq              = "→" / "-&gt;" / velocity</w:t>
            </w:r>
          </w:p>
          <w:p w14:paraId="147E72F1" w14:textId="77777777" w:rsidR="00786459" w:rsidRDefault="00000000">
            <w:pPr>
              <w:pStyle w:val="CodeBlock"/>
              <w:spacing w:after="0"/>
              <w:rPr>
                <w:rFonts w:hint="eastAsia"/>
              </w:rPr>
            </w:pPr>
            <w:r>
              <w:t>velocity         = ("→" / "-&gt;") "[" ("Δt" / "dt") "=" value "]" ("→" / "-&gt;")</w:t>
            </w:r>
          </w:p>
          <w:p w14:paraId="520C5434" w14:textId="77777777" w:rsidR="00786459" w:rsidRDefault="00000000">
            <w:pPr>
              <w:pStyle w:val="CodeBlock"/>
              <w:spacing w:after="0"/>
              <w:rPr>
                <w:rFonts w:hint="eastAsia"/>
              </w:rPr>
            </w:pPr>
            <w:r>
              <w:t>cluster          = "#" 1*2DIGIT</w:t>
            </w:r>
          </w:p>
          <w:p w14:paraId="3E0721C3" w14:textId="77777777" w:rsidR="00786459" w:rsidRDefault="00000000">
            <w:pPr>
              <w:pStyle w:val="CodeBlock"/>
              <w:spacing w:after="0"/>
              <w:rPr>
                <w:rFonts w:hint="eastAsia"/>
              </w:rPr>
            </w:pPr>
            <w:r>
              <w:t>dre              = "+" ws? "[DRE:" ws? 1*ALPHA "]"</w:t>
            </w:r>
          </w:p>
          <w:p w14:paraId="32A70BA2" w14:textId="77777777" w:rsidR="00786459" w:rsidRDefault="00000000">
            <w:pPr>
              <w:pStyle w:val="CodeBlock"/>
              <w:spacing w:after="0"/>
              <w:rPr>
                <w:rFonts w:hint="eastAsia"/>
              </w:rPr>
            </w:pPr>
            <w:r>
              <w:t>boundary         = inter-boundary</w:t>
            </w:r>
          </w:p>
          <w:p w14:paraId="4D761EDE" w14:textId="77777777" w:rsidR="00786459" w:rsidRDefault="00000000">
            <w:pPr>
              <w:pStyle w:val="CodeBlock"/>
              <w:spacing w:after="0"/>
              <w:rPr>
                <w:rFonts w:hint="eastAsia"/>
              </w:rPr>
            </w:pPr>
            <w:r>
              <w:t>inter-boundary   = "||" "[" context "]" "[" transit-chain "]" "||"</w:t>
            </w:r>
          </w:p>
          <w:p w14:paraId="478AFC65" w14:textId="77777777" w:rsidR="00786459" w:rsidRDefault="00000000">
            <w:pPr>
              <w:pStyle w:val="CodeBlock"/>
              <w:spacing w:after="0"/>
              <w:rPr>
                <w:rFonts w:hint="eastAsia"/>
              </w:rPr>
            </w:pPr>
            <w:r>
              <w:t>transit-chain    = party arrow party *( transit-arrow party )</w:t>
            </w:r>
          </w:p>
          <w:p w14:paraId="3A018F0D" w14:textId="77777777" w:rsidR="00786459" w:rsidRDefault="00000000">
            <w:pPr>
              <w:pStyle w:val="CodeBlock"/>
              <w:spacing w:after="0"/>
              <w:rPr>
                <w:rFonts w:hint="eastAsia"/>
              </w:rPr>
            </w:pPr>
            <w:r>
              <w:t>arrow            = "→" / "-&gt;"</w:t>
            </w:r>
          </w:p>
          <w:p w14:paraId="68D9AFD3" w14:textId="77777777" w:rsidR="00786459" w:rsidRDefault="00000000">
            <w:pPr>
              <w:pStyle w:val="CodeBlock"/>
              <w:spacing w:after="0"/>
              <w:rPr>
                <w:rFonts w:hint="eastAsia"/>
              </w:rPr>
            </w:pPr>
            <w:r>
              <w:t>transit-arrow    = "⇒" / "=&gt;"</w:t>
            </w:r>
          </w:p>
          <w:p w14:paraId="023B2426" w14:textId="77777777" w:rsidR="00786459" w:rsidRDefault="00000000">
            <w:pPr>
              <w:pStyle w:val="CodeBlock"/>
              <w:spacing w:after="0"/>
              <w:rPr>
                <w:rFonts w:hint="eastAsia"/>
              </w:rPr>
            </w:pPr>
            <w:r>
              <w:t>party            = "@" identifier [ "(" detail ")" ]</w:t>
            </w:r>
          </w:p>
          <w:p w14:paraId="31E667E6" w14:textId="77777777" w:rsidR="00786459" w:rsidRDefault="00000000">
            <w:pPr>
              <w:pStyle w:val="CodeBlock"/>
              <w:spacing w:after="0"/>
              <w:rPr>
                <w:rFonts w:hint="eastAsia"/>
              </w:rPr>
            </w:pPr>
            <w:r>
              <w:t>intra-list       = intra *( ws intra )</w:t>
            </w:r>
          </w:p>
          <w:p w14:paraId="6F2CAED5" w14:textId="77777777" w:rsidR="00786459" w:rsidRDefault="00000000">
            <w:pPr>
              <w:pStyle w:val="CodeBlock"/>
              <w:spacing w:after="0"/>
              <w:rPr>
                <w:rFonts w:hint="eastAsia"/>
              </w:rPr>
            </w:pPr>
            <w:r>
              <w:t>intra            = "|" "[" boundary-type "]" "[" party arrow party "]" "|"</w:t>
            </w:r>
          </w:p>
          <w:p w14:paraId="203C0EC7" w14:textId="77777777" w:rsidR="00786459" w:rsidRDefault="00000000">
            <w:pPr>
              <w:pStyle w:val="CodeBlock"/>
              <w:spacing w:after="0"/>
              <w:rPr>
                <w:rFonts w:hint="eastAsia"/>
              </w:rPr>
            </w:pPr>
            <w:r>
              <w:t>context          = identifier</w:t>
            </w:r>
          </w:p>
          <w:p w14:paraId="3B0FA343" w14:textId="77777777" w:rsidR="00786459" w:rsidRDefault="00000000">
            <w:pPr>
              <w:pStyle w:val="CodeBlock"/>
              <w:spacing w:after="0"/>
              <w:rPr>
                <w:rFonts w:hint="eastAsia"/>
              </w:rPr>
            </w:pPr>
            <w:r>
              <w:t>boundary-type    = "sandbox" / "privilege" / "process" / "hypervisor"</w:t>
            </w:r>
          </w:p>
          <w:p w14:paraId="61F7194E" w14:textId="77777777" w:rsidR="00786459" w:rsidRDefault="00000000">
            <w:pPr>
              <w:pStyle w:val="CodeBlock"/>
              <w:spacing w:after="0"/>
              <w:rPr>
                <w:rFonts w:hint="eastAsia"/>
              </w:rPr>
            </w:pPr>
            <w:r>
              <w:t>identifier       = 1*( ALPHA / DIGIT / "_" / "-" / "." )</w:t>
            </w:r>
          </w:p>
          <w:p w14:paraId="5F92A89D" w14:textId="77777777" w:rsidR="00786459" w:rsidRDefault="00000000">
            <w:pPr>
              <w:pStyle w:val="CodeBlock"/>
              <w:spacing w:after="0"/>
              <w:rPr>
                <w:rFonts w:hint="eastAsia"/>
              </w:rPr>
            </w:pPr>
            <w:r>
              <w:t>detail           = 1*( ALPHA / DIGIT / "_" / "-" / "." / SP / "@" )</w:t>
            </w:r>
          </w:p>
          <w:p w14:paraId="185B82BA" w14:textId="77777777" w:rsidR="00786459" w:rsidRDefault="00000000">
            <w:pPr>
              <w:pStyle w:val="CodeBlock"/>
              <w:spacing w:after="0"/>
              <w:rPr>
                <w:rFonts w:hint="eastAsia"/>
              </w:rPr>
            </w:pPr>
            <w:r>
              <w:t>value            = 1*( ALPHA / DIGIT / "." / "≈" / ":" )</w:t>
            </w:r>
          </w:p>
          <w:p w14:paraId="09B2DE6F" w14:textId="77777777" w:rsidR="00786459" w:rsidRDefault="00000000">
            <w:pPr>
              <w:pStyle w:val="CodeBlock"/>
              <w:spacing w:after="0"/>
              <w:rPr>
                <w:rFonts w:hint="eastAsia"/>
              </w:rPr>
            </w:pPr>
            <w:r>
              <w:t>ws               = 1*( SP / HTAB )</w:t>
            </w:r>
          </w:p>
        </w:tc>
      </w:tr>
    </w:tbl>
    <w:p w14:paraId="1C5D5DEF" w14:textId="77777777" w:rsidR="00786459" w:rsidRDefault="00786459">
      <w:pPr>
        <w:pStyle w:val="Small"/>
        <w:rPr>
          <w:rFonts w:hint="eastAsia"/>
        </w:rPr>
      </w:pPr>
    </w:p>
    <w:p w14:paraId="44E94BE0" w14:textId="77777777" w:rsidR="00786459" w:rsidRDefault="00000000">
      <w:pPr>
        <w:rPr>
          <w:rFonts w:hint="eastAsia"/>
        </w:rPr>
      </w:pPr>
      <w:r>
        <w:t>Parsing note: the grammar is deliberately permissive in the value field so that human-readable velocity tokens such as 5m, 3–5s, or ≈0s remain representable. Implementations that require stronger machine validation may layer a stricter local schema on top of this profile.</w:t>
      </w:r>
    </w:p>
    <w:p w14:paraId="4510B71A" w14:textId="77777777" w:rsidR="00786459" w:rsidRDefault="00000000">
      <w:pPr>
        <w:pStyle w:val="berschrift2"/>
      </w:pPr>
      <w:r>
        <w:t>8.5 Canonicalization rules</w:t>
      </w:r>
    </w:p>
    <w:p w14:paraId="2D4D3B69" w14:textId="77777777" w:rsidR="00786459" w:rsidRDefault="00000000">
      <w:pPr>
        <w:pStyle w:val="Rule"/>
        <w:keepLines/>
        <w:rPr>
          <w:rFonts w:hint="eastAsia"/>
        </w:rPr>
      </w:pPr>
      <w:r>
        <w:rPr>
          <w:b/>
          <w:color w:val="1F4E79"/>
        </w:rPr>
        <w:t xml:space="preserve">CAN-1. </w:t>
      </w:r>
      <w:r>
        <w:t>Canonical output SHOULD normalize arrows to Unicode.</w:t>
      </w:r>
    </w:p>
    <w:p w14:paraId="06ECF241" w14:textId="77777777" w:rsidR="00786459" w:rsidRDefault="00000000">
      <w:pPr>
        <w:pStyle w:val="Rule"/>
        <w:keepLines/>
        <w:rPr>
          <w:rFonts w:hint="eastAsia"/>
        </w:rPr>
      </w:pPr>
      <w:r>
        <w:rPr>
          <w:b/>
          <w:color w:val="1F4E79"/>
        </w:rPr>
        <w:t xml:space="preserve">CAN-2. </w:t>
      </w:r>
      <w:r>
        <w:t>Canonical output SHOULD remove redundant whitespace while preserving a single space between major step components.</w:t>
      </w:r>
    </w:p>
    <w:p w14:paraId="4B16698D" w14:textId="77777777" w:rsidR="00786459" w:rsidRDefault="00000000">
      <w:pPr>
        <w:pStyle w:val="Rule"/>
        <w:keepLines/>
        <w:rPr>
          <w:rFonts w:hint="eastAsia"/>
        </w:rPr>
      </w:pPr>
      <w:r>
        <w:rPr>
          <w:b/>
          <w:color w:val="1F4E79"/>
        </w:rPr>
        <w:t xml:space="preserve">CAN-3. </w:t>
      </w:r>
      <w:r>
        <w:t>Canonical output SHOULD place inter-organizational boundary annotations before intra-system annotations on the same step.</w:t>
      </w:r>
    </w:p>
    <w:p w14:paraId="35DC1A12" w14:textId="77777777" w:rsidR="00786459" w:rsidRDefault="00000000">
      <w:pPr>
        <w:pStyle w:val="Rule"/>
        <w:keepLines/>
        <w:rPr>
          <w:rFonts w:hint="eastAsia"/>
        </w:rPr>
      </w:pPr>
      <w:r>
        <w:rPr>
          <w:b/>
          <w:color w:val="1F4E79"/>
        </w:rPr>
        <w:t xml:space="preserve">CAN-4. </w:t>
      </w:r>
      <w:r>
        <w:t>Canonical output SHOULD preserve party detail as supplied, except for removal of prohibited characters.</w:t>
      </w:r>
    </w:p>
    <w:p w14:paraId="57E0E1D4" w14:textId="77777777" w:rsidR="00786459" w:rsidRDefault="00000000">
      <w:pPr>
        <w:pStyle w:val="berschrift1"/>
      </w:pPr>
      <w:r>
        <w:t>9. JSON mapping and implementation profile</w:t>
      </w:r>
    </w:p>
    <w:p w14:paraId="6944722E" w14:textId="77777777" w:rsidR="00786459" w:rsidRDefault="00000000">
      <w:pPr>
        <w:pStyle w:val="berschrift2"/>
      </w:pPr>
      <w:r>
        <w:t>9.1 Minimal object model</w:t>
      </w:r>
    </w:p>
    <w:tbl>
      <w:tblPr>
        <w:tblW w:w="0" w:type="auto"/>
        <w:jc w:val="center"/>
        <w:tblLayout w:type="fixed"/>
        <w:tblLook w:val="04A0" w:firstRow="1" w:lastRow="0" w:firstColumn="1" w:lastColumn="0" w:noHBand="0" w:noVBand="1"/>
      </w:tblPr>
      <w:tblGrid>
        <w:gridCol w:w="9461"/>
      </w:tblGrid>
      <w:tr w:rsidR="00786459" w14:paraId="62A9C1FE" w14:textId="77777777">
        <w:trPr>
          <w:jc w:val="center"/>
        </w:trPr>
        <w:tc>
          <w:tcPr>
            <w:tcW w:w="9461" w:type="dxa"/>
            <w:shd w:val="clear" w:color="auto" w:fill="F3F6F9"/>
            <w:tcMar>
              <w:top w:w="90" w:type="dxa"/>
              <w:left w:w="120" w:type="dxa"/>
              <w:bottom w:w="90" w:type="dxa"/>
              <w:right w:w="120" w:type="dxa"/>
            </w:tcMar>
          </w:tcPr>
          <w:p w14:paraId="01DD4BB2" w14:textId="77777777" w:rsidR="00786459" w:rsidRDefault="00000000">
            <w:pPr>
              <w:pStyle w:val="CodeBlock"/>
              <w:spacing w:after="0"/>
              <w:rPr>
                <w:rFonts w:hint="eastAsia"/>
              </w:rPr>
            </w:pPr>
            <w:r>
              <w:t>{</w:t>
            </w:r>
          </w:p>
          <w:p w14:paraId="21AD9E3E" w14:textId="77777777" w:rsidR="00786459" w:rsidRDefault="00000000">
            <w:pPr>
              <w:pStyle w:val="CodeBlock"/>
              <w:spacing w:after="0"/>
              <w:rPr>
                <w:rFonts w:hint="eastAsia"/>
              </w:rPr>
            </w:pPr>
            <w:r>
              <w:t xml:space="preserve">  "step_id": "S2",</w:t>
            </w:r>
          </w:p>
          <w:p w14:paraId="1C9C7B4F" w14:textId="77777777" w:rsidR="00786459" w:rsidRDefault="00000000">
            <w:pPr>
              <w:pStyle w:val="CodeBlock"/>
              <w:spacing w:after="0"/>
              <w:rPr>
                <w:rFonts w:hint="eastAsia"/>
              </w:rPr>
            </w:pPr>
            <w:r>
              <w:t xml:space="preserve">  "cluster": "#3",</w:t>
            </w:r>
          </w:p>
          <w:p w14:paraId="3A333475" w14:textId="77777777" w:rsidR="00786459" w:rsidRDefault="00000000">
            <w:pPr>
              <w:pStyle w:val="CodeBlock"/>
              <w:spacing w:after="0"/>
              <w:rPr>
                <w:rFonts w:hint="eastAsia"/>
              </w:rPr>
            </w:pPr>
            <w:r>
              <w:t xml:space="preserve">  "description": "iMessage parser vulnerability exploited",</w:t>
            </w:r>
          </w:p>
          <w:p w14:paraId="59702D2A" w14:textId="77777777" w:rsidR="00786459" w:rsidRDefault="00000000">
            <w:pPr>
              <w:pStyle w:val="CodeBlock"/>
              <w:spacing w:after="0"/>
              <w:rPr>
                <w:rFonts w:hint="eastAsia"/>
              </w:rPr>
            </w:pPr>
            <w:r>
              <w:t xml:space="preserve">  "inter_org_boundary": {</w:t>
            </w:r>
          </w:p>
          <w:p w14:paraId="3F819B18" w14:textId="77777777" w:rsidR="00786459" w:rsidRDefault="00000000">
            <w:pPr>
              <w:pStyle w:val="CodeBlock"/>
              <w:spacing w:after="0"/>
              <w:rPr>
                <w:rFonts w:hint="eastAsia"/>
              </w:rPr>
            </w:pPr>
            <w:r>
              <w:lastRenderedPageBreak/>
              <w:t xml:space="preserve">    "context": "messaging",</w:t>
            </w:r>
          </w:p>
          <w:p w14:paraId="6A27C4B4" w14:textId="77777777" w:rsidR="00786459" w:rsidRDefault="00000000">
            <w:pPr>
              <w:pStyle w:val="CodeBlock"/>
              <w:spacing w:after="0"/>
              <w:rPr>
                <w:rFonts w:hint="eastAsia"/>
              </w:rPr>
            </w:pPr>
            <w:r>
              <w:t xml:space="preserve">    "source": "@Attacker",</w:t>
            </w:r>
          </w:p>
          <w:p w14:paraId="12B21731" w14:textId="77777777" w:rsidR="00786459" w:rsidRDefault="00000000">
            <w:pPr>
              <w:pStyle w:val="CodeBlock"/>
              <w:spacing w:after="0"/>
              <w:rPr>
                <w:rFonts w:hint="eastAsia"/>
              </w:rPr>
            </w:pPr>
            <w:r>
              <w:t xml:space="preserve">    "transit": "@Apple(iMessage)",</w:t>
            </w:r>
          </w:p>
          <w:p w14:paraId="5530788F" w14:textId="77777777" w:rsidR="00786459" w:rsidRDefault="00000000">
            <w:pPr>
              <w:pStyle w:val="CodeBlock"/>
              <w:spacing w:after="0"/>
              <w:rPr>
                <w:rFonts w:hint="eastAsia"/>
              </w:rPr>
            </w:pPr>
            <w:r>
              <w:t xml:space="preserve">    "target": "@Target"</w:t>
            </w:r>
          </w:p>
          <w:p w14:paraId="3F8DE3E9" w14:textId="77777777" w:rsidR="00786459" w:rsidRDefault="00000000">
            <w:pPr>
              <w:pStyle w:val="CodeBlock"/>
              <w:spacing w:after="0"/>
              <w:rPr>
                <w:rFonts w:hint="eastAsia"/>
              </w:rPr>
            </w:pPr>
            <w:r>
              <w:t xml:space="preserve">  },</w:t>
            </w:r>
          </w:p>
          <w:p w14:paraId="416D32F1" w14:textId="77777777" w:rsidR="00786459" w:rsidRDefault="00000000">
            <w:pPr>
              <w:pStyle w:val="CodeBlock"/>
              <w:spacing w:after="0"/>
              <w:rPr>
                <w:rFonts w:hint="eastAsia"/>
              </w:rPr>
            </w:pPr>
            <w:r>
              <w:t xml:space="preserve">  "intra_system_boundaries": [</w:t>
            </w:r>
          </w:p>
          <w:p w14:paraId="15482477" w14:textId="77777777" w:rsidR="00786459" w:rsidRDefault="00000000">
            <w:pPr>
              <w:pStyle w:val="CodeBlock"/>
              <w:spacing w:after="0"/>
              <w:rPr>
                <w:rFonts w:hint="eastAsia"/>
              </w:rPr>
            </w:pPr>
            <w:r>
              <w:t xml:space="preserve">    { "type": "sandbox", "from": "@iMessage", "to": "@BlastDoor" },</w:t>
            </w:r>
          </w:p>
          <w:p w14:paraId="0BABA5B3" w14:textId="77777777" w:rsidR="00786459" w:rsidRDefault="00000000">
            <w:pPr>
              <w:pStyle w:val="CodeBlock"/>
              <w:spacing w:after="0"/>
              <w:rPr>
                <w:rFonts w:hint="eastAsia"/>
              </w:rPr>
            </w:pPr>
            <w:r>
              <w:t xml:space="preserve">    { "type": "privilege", "from": "@user", "to": "@root" }</w:t>
            </w:r>
          </w:p>
          <w:p w14:paraId="53008DE8" w14:textId="77777777" w:rsidR="00786459" w:rsidRDefault="00000000">
            <w:pPr>
              <w:pStyle w:val="CodeBlock"/>
              <w:spacing w:after="0"/>
              <w:rPr>
                <w:rFonts w:hint="eastAsia"/>
              </w:rPr>
            </w:pPr>
            <w:r>
              <w:t xml:space="preserve">  ],</w:t>
            </w:r>
          </w:p>
          <w:p w14:paraId="5750DADE" w14:textId="77777777" w:rsidR="00786459" w:rsidRDefault="00000000">
            <w:pPr>
              <w:pStyle w:val="CodeBlock"/>
              <w:spacing w:after="0"/>
              <w:rPr>
                <w:rFonts w:hint="eastAsia"/>
              </w:rPr>
            </w:pPr>
            <w:r>
              <w:t xml:space="preserve">  "vendor_responsibility": {</w:t>
            </w:r>
          </w:p>
          <w:p w14:paraId="53E94B77" w14:textId="77777777" w:rsidR="00786459" w:rsidRDefault="00000000">
            <w:pPr>
              <w:pStyle w:val="CodeBlock"/>
              <w:spacing w:after="0"/>
              <w:rPr>
                <w:rFonts w:hint="eastAsia"/>
              </w:rPr>
            </w:pPr>
            <w:r>
              <w:t xml:space="preserve">    "vendor": "Apple",</w:t>
            </w:r>
          </w:p>
          <w:p w14:paraId="380105BF" w14:textId="77777777" w:rsidR="00786459" w:rsidRDefault="00000000">
            <w:pPr>
              <w:pStyle w:val="CodeBlock"/>
              <w:spacing w:after="0"/>
              <w:rPr>
                <w:rFonts w:hint="eastAsia"/>
              </w:rPr>
            </w:pPr>
            <w:r>
              <w:t xml:space="preserve">    "components": ["iMessage parser", "iOS privilege separation"],</w:t>
            </w:r>
          </w:p>
          <w:p w14:paraId="1A465159" w14:textId="77777777" w:rsidR="00786459" w:rsidRDefault="00000000">
            <w:pPr>
              <w:pStyle w:val="CodeBlock"/>
              <w:spacing w:after="0"/>
              <w:rPr>
                <w:rFonts w:hint="eastAsia"/>
              </w:rPr>
            </w:pPr>
            <w:r>
              <w:t xml:space="preserve">    "note": "Metadata only; not transit topology"</w:t>
            </w:r>
          </w:p>
          <w:p w14:paraId="16AB7876" w14:textId="77777777" w:rsidR="00786459" w:rsidRDefault="00000000">
            <w:pPr>
              <w:pStyle w:val="CodeBlock"/>
              <w:spacing w:after="0"/>
              <w:rPr>
                <w:rFonts w:hint="eastAsia"/>
              </w:rPr>
            </w:pPr>
            <w:r>
              <w:t xml:space="preserve">  }</w:t>
            </w:r>
          </w:p>
          <w:p w14:paraId="4B38F207" w14:textId="77777777" w:rsidR="00786459" w:rsidRDefault="00000000">
            <w:pPr>
              <w:pStyle w:val="CodeBlock"/>
              <w:spacing w:after="0"/>
              <w:rPr>
                <w:rFonts w:hint="eastAsia"/>
              </w:rPr>
            </w:pPr>
            <w:r>
              <w:t>}</w:t>
            </w:r>
          </w:p>
        </w:tc>
      </w:tr>
    </w:tbl>
    <w:p w14:paraId="25842A1B" w14:textId="77777777" w:rsidR="00786459" w:rsidRDefault="00786459">
      <w:pPr>
        <w:pStyle w:val="Small"/>
        <w:rPr>
          <w:rFonts w:hint="eastAsia"/>
        </w:rPr>
      </w:pPr>
    </w:p>
    <w:p w14:paraId="5A5018CF" w14:textId="77777777" w:rsidR="00786459" w:rsidRDefault="00000000">
      <w:pPr>
        <w:pStyle w:val="berschrift2"/>
      </w:pPr>
      <w:r>
        <w:t>9.2 JSON rules</w:t>
      </w:r>
    </w:p>
    <w:p w14:paraId="4DD4B695" w14:textId="77777777" w:rsidR="00786459" w:rsidRDefault="00000000">
      <w:pPr>
        <w:pStyle w:val="Rule"/>
        <w:keepLines/>
        <w:rPr>
          <w:rFonts w:hint="eastAsia"/>
        </w:rPr>
      </w:pPr>
      <w:r>
        <w:rPr>
          <w:b/>
          <w:color w:val="1F4E79"/>
        </w:rPr>
        <w:t xml:space="preserve">JSON-1. </w:t>
      </w:r>
      <w:r>
        <w:t>The inter_org_boundary object is OPTIONAL.</w:t>
      </w:r>
    </w:p>
    <w:p w14:paraId="746D55DB" w14:textId="77777777" w:rsidR="00786459" w:rsidRDefault="00000000">
      <w:pPr>
        <w:pStyle w:val="Rule"/>
        <w:keepLines/>
        <w:rPr>
          <w:rFonts w:hint="eastAsia"/>
        </w:rPr>
      </w:pPr>
      <w:r>
        <w:rPr>
          <w:b/>
          <w:color w:val="1F4E79"/>
        </w:rPr>
        <w:t xml:space="preserve">JSON-2. </w:t>
      </w:r>
      <w:r>
        <w:t>Within inter_org_boundary, the transit field is OPTIONAL. If absent, the boundary is binary v2.0-compatible.</w:t>
      </w:r>
    </w:p>
    <w:p w14:paraId="2183A9B2" w14:textId="77777777" w:rsidR="00786459" w:rsidRDefault="00000000">
      <w:pPr>
        <w:pStyle w:val="Rule"/>
        <w:keepLines/>
        <w:rPr>
          <w:rFonts w:hint="eastAsia"/>
        </w:rPr>
      </w:pPr>
      <w:r>
        <w:rPr>
          <w:b/>
          <w:color w:val="1F4E79"/>
        </w:rPr>
        <w:t xml:space="preserve">JSON-3. </w:t>
      </w:r>
      <w:r>
        <w:t>The intra_system_boundaries array is OPTIONAL and may contain multiple entries for compressed form.</w:t>
      </w:r>
    </w:p>
    <w:p w14:paraId="5311E44F" w14:textId="77777777" w:rsidR="00786459" w:rsidRDefault="00000000">
      <w:pPr>
        <w:pStyle w:val="Rule"/>
        <w:keepLines/>
        <w:rPr>
          <w:rFonts w:hint="eastAsia"/>
        </w:rPr>
      </w:pPr>
      <w:r>
        <w:rPr>
          <w:b/>
          <w:color w:val="1F4E79"/>
        </w:rPr>
        <w:t xml:space="preserve">JSON-4. </w:t>
      </w:r>
      <w:r>
        <w:t>vendor_responsibility is OPTIONAL metadata and has no effect on parser classification.</w:t>
      </w:r>
    </w:p>
    <w:p w14:paraId="707091F3" w14:textId="77777777" w:rsidR="00786459" w:rsidRDefault="00000000">
      <w:pPr>
        <w:pStyle w:val="Rule"/>
        <w:keepLines/>
        <w:rPr>
          <w:rFonts w:hint="eastAsia"/>
        </w:rPr>
      </w:pPr>
      <w:r>
        <w:rPr>
          <w:b/>
          <w:color w:val="1F4E79"/>
        </w:rPr>
        <w:t xml:space="preserve">JSON-5. </w:t>
      </w:r>
      <w:r>
        <w:t>A compliant implementation MUST preserve the cluster independently of all annotation metadata.</w:t>
      </w:r>
    </w:p>
    <w:p w14:paraId="299BFCA8" w14:textId="77777777" w:rsidR="00786459" w:rsidRDefault="00000000">
      <w:pPr>
        <w:pStyle w:val="berschrift2"/>
      </w:pPr>
      <w:r>
        <w:t>9.3 Implementation behavior</w:t>
      </w:r>
    </w:p>
    <w:p w14:paraId="603889BA" w14:textId="77777777" w:rsidR="00786459" w:rsidRDefault="00000000">
      <w:pPr>
        <w:ind w:left="360" w:hanging="259"/>
        <w:rPr>
          <w:rFonts w:hint="eastAsia"/>
        </w:rPr>
      </w:pPr>
      <w:r>
        <w:rPr>
          <w:b/>
          <w:color w:val="1F4E79"/>
        </w:rPr>
        <w:t xml:space="preserve">• </w:t>
      </w:r>
      <w:r>
        <w:t>A parser SHOULD accept both Unicode and ASCII transport forms.</w:t>
      </w:r>
    </w:p>
    <w:p w14:paraId="74089675" w14:textId="77777777" w:rsidR="00786459" w:rsidRDefault="00000000">
      <w:pPr>
        <w:ind w:left="360" w:hanging="259"/>
        <w:rPr>
          <w:rFonts w:hint="eastAsia"/>
        </w:rPr>
      </w:pPr>
      <w:r>
        <w:rPr>
          <w:b/>
          <w:color w:val="1F4E79"/>
        </w:rPr>
        <w:t xml:space="preserve">• </w:t>
      </w:r>
      <w:r>
        <w:t>A renderer SHOULD be able to display both inter-organizational and intra-system boundaries distinctly.</w:t>
      </w:r>
    </w:p>
    <w:p w14:paraId="08810A4E" w14:textId="77777777" w:rsidR="00786459" w:rsidRDefault="00000000">
      <w:pPr>
        <w:ind w:left="360" w:hanging="259"/>
        <w:rPr>
          <w:rFonts w:hint="eastAsia"/>
        </w:rPr>
      </w:pPr>
      <w:r>
        <w:rPr>
          <w:b/>
          <w:color w:val="1F4E79"/>
        </w:rPr>
        <w:t xml:space="preserve">• </w:t>
      </w:r>
      <w:r>
        <w:t>An exporter SHOULD be able to strip annotations and emit the base cluster sequence.</w:t>
      </w:r>
    </w:p>
    <w:p w14:paraId="5975194B" w14:textId="77777777" w:rsidR="00786459" w:rsidRDefault="00000000">
      <w:pPr>
        <w:ind w:left="360" w:hanging="259"/>
        <w:rPr>
          <w:rFonts w:hint="eastAsia"/>
        </w:rPr>
      </w:pPr>
      <w:r>
        <w:rPr>
          <w:b/>
          <w:color w:val="1F4E79"/>
        </w:rPr>
        <w:t xml:space="preserve">• </w:t>
      </w:r>
      <w:r>
        <w:t>A validator SHOULD warn when transit is used for a vendor-on-target case or when an intra-system boundary appears without a cluster.</w:t>
      </w:r>
    </w:p>
    <w:p w14:paraId="7C582C9B" w14:textId="77777777" w:rsidR="00786459" w:rsidRDefault="00000000">
      <w:pPr>
        <w:pStyle w:val="berschrift1"/>
      </w:pPr>
      <w:r>
        <w:t>10. Rendering and visualization guidance</w:t>
      </w:r>
    </w:p>
    <w:p w14:paraId="5DB438C2" w14:textId="77777777" w:rsidR="00786459" w:rsidRDefault="00000000">
      <w:pPr>
        <w:rPr>
          <w:rFonts w:hint="eastAsia"/>
        </w:rPr>
      </w:pPr>
      <w:r>
        <w:t>This section is informative but recommended. The notation is human-first. Visual clarity therefore matters.</w:t>
      </w:r>
    </w:p>
    <w:p w14:paraId="65F24D74" w14:textId="77777777" w:rsidR="00786459" w:rsidRDefault="00000000">
      <w:pPr>
        <w:ind w:left="360" w:hanging="259"/>
        <w:rPr>
          <w:rFonts w:hint="eastAsia"/>
        </w:rPr>
      </w:pPr>
      <w:r>
        <w:rPr>
          <w:b/>
          <w:color w:val="1F4E79"/>
        </w:rPr>
        <w:t xml:space="preserve">• </w:t>
      </w:r>
      <w:r>
        <w:t>Inter-organizational boundaries are best rendered as vertical swim-lane boundaries or labeled boundary markers between responsibility spheres.</w:t>
      </w:r>
    </w:p>
    <w:p w14:paraId="1B925953" w14:textId="77777777" w:rsidR="00786459" w:rsidRDefault="00000000">
      <w:pPr>
        <w:ind w:left="360" w:hanging="259"/>
        <w:rPr>
          <w:rFonts w:hint="eastAsia"/>
        </w:rPr>
      </w:pPr>
      <w:r>
        <w:rPr>
          <w:b/>
          <w:color w:val="1F4E79"/>
        </w:rPr>
        <w:t xml:space="preserve">• </w:t>
      </w:r>
      <w:r>
        <w:t>Transit parties should appear between source and target lanes, not merged into either endpoint.</w:t>
      </w:r>
    </w:p>
    <w:p w14:paraId="58797422" w14:textId="77777777" w:rsidR="00786459" w:rsidRDefault="00000000">
      <w:pPr>
        <w:ind w:left="360" w:hanging="259"/>
        <w:rPr>
          <w:rFonts w:hint="eastAsia"/>
        </w:rPr>
      </w:pPr>
      <w:r>
        <w:rPr>
          <w:b/>
          <w:color w:val="1F4E79"/>
        </w:rPr>
        <w:t xml:space="preserve">• </w:t>
      </w:r>
      <w:r>
        <w:t>Intra-system boundaries are best rendered as horizontal sub-lanes or compartment lines inside the target’s lane.</w:t>
      </w:r>
    </w:p>
    <w:p w14:paraId="466911EB" w14:textId="77777777" w:rsidR="00786459" w:rsidRDefault="00000000">
      <w:pPr>
        <w:ind w:left="360" w:hanging="259"/>
        <w:rPr>
          <w:rFonts w:hint="eastAsia"/>
        </w:rPr>
      </w:pPr>
      <w:r>
        <w:rPr>
          <w:b/>
          <w:color w:val="1F4E79"/>
        </w:rPr>
        <w:t xml:space="preserve">• </w:t>
      </w:r>
      <w:r>
        <w:t>The transit arrow should be visually distinguishable from the ordinary sequential arrow.</w:t>
      </w:r>
    </w:p>
    <w:p w14:paraId="47E14ED8" w14:textId="77777777" w:rsidR="00786459" w:rsidRDefault="00000000">
      <w:pPr>
        <w:ind w:left="360" w:hanging="259"/>
        <w:rPr>
          <w:rFonts w:hint="eastAsia"/>
        </w:rPr>
      </w:pPr>
      <w:r>
        <w:rPr>
          <w:b/>
          <w:color w:val="1F4E79"/>
        </w:rPr>
        <w:t xml:space="preserve">• </w:t>
      </w:r>
      <w:r>
        <w:t>Compressed and expanded intra-system forms should remain visually recognizable as different levels of evidentiary certainty, not just different art styles.</w:t>
      </w:r>
    </w:p>
    <w:p w14:paraId="299A9295" w14:textId="77777777" w:rsidR="00786459" w:rsidRDefault="00000000">
      <w:pPr>
        <w:pStyle w:val="berschrift1"/>
      </w:pPr>
      <w:r>
        <w:lastRenderedPageBreak/>
        <w:t>11. Worked examples</w:t>
      </w:r>
    </w:p>
    <w:p w14:paraId="29F61700" w14:textId="77777777" w:rsidR="00786459" w:rsidRDefault="00000000">
      <w:pPr>
        <w:pStyle w:val="berschrift2"/>
      </w:pPr>
      <w:r>
        <w:t>11.1 Pegasus network injection</w:t>
      </w:r>
    </w:p>
    <w:tbl>
      <w:tblPr>
        <w:tblW w:w="0" w:type="auto"/>
        <w:jc w:val="center"/>
        <w:tblLayout w:type="fixed"/>
        <w:tblLook w:val="04A0" w:firstRow="1" w:lastRow="0" w:firstColumn="1" w:lastColumn="0" w:noHBand="0" w:noVBand="1"/>
      </w:tblPr>
      <w:tblGrid>
        <w:gridCol w:w="9461"/>
      </w:tblGrid>
      <w:tr w:rsidR="00786459" w14:paraId="496A9DCF" w14:textId="77777777">
        <w:trPr>
          <w:jc w:val="center"/>
        </w:trPr>
        <w:tc>
          <w:tcPr>
            <w:tcW w:w="9461" w:type="dxa"/>
            <w:shd w:val="clear" w:color="auto" w:fill="F3F6F9"/>
            <w:tcMar>
              <w:top w:w="90" w:type="dxa"/>
              <w:left w:w="120" w:type="dxa"/>
              <w:bottom w:w="90" w:type="dxa"/>
              <w:right w:w="120" w:type="dxa"/>
            </w:tcMar>
          </w:tcPr>
          <w:p w14:paraId="60DD2FAB" w14:textId="77777777" w:rsidR="00786459" w:rsidRDefault="00000000">
            <w:pPr>
              <w:pStyle w:val="CodeBlock"/>
              <w:spacing w:after="0"/>
              <w:rPr>
                <w:rFonts w:hint="eastAsia"/>
              </w:rPr>
            </w:pPr>
            <w:r>
              <w:t>#5 ||[network][@NSO_Operator⇒@MobileCarrier→@Target]|| →[Δt≈0s]</w:t>
            </w:r>
          </w:p>
          <w:p w14:paraId="207A96B4" w14:textId="77777777" w:rsidR="00786459" w:rsidRDefault="00000000">
            <w:pPr>
              <w:pStyle w:val="CodeBlock"/>
              <w:spacing w:after="0"/>
              <w:rPr>
                <w:rFonts w:hint="eastAsia"/>
              </w:rPr>
            </w:pPr>
            <w:r>
              <w:t>#3 ||[browser][@NSO(free247downloads.com)→@Target(Safari)]|| |[privilege][@user→@root]| →[Δt≈0s]</w:t>
            </w:r>
          </w:p>
          <w:p w14:paraId="19F43A3B" w14:textId="77777777" w:rsidR="00786459" w:rsidRDefault="00000000">
            <w:pPr>
              <w:pStyle w:val="CodeBlock"/>
              <w:spacing w:after="0"/>
              <w:rPr>
                <w:rFonts w:hint="eastAsia"/>
              </w:rPr>
            </w:pPr>
            <w:r>
              <w:t>#7 + [DRE: C]</w:t>
            </w:r>
          </w:p>
        </w:tc>
      </w:tr>
    </w:tbl>
    <w:p w14:paraId="1A34E6C4" w14:textId="77777777" w:rsidR="00786459" w:rsidRDefault="00786459">
      <w:pPr>
        <w:pStyle w:val="Small"/>
        <w:rPr>
          <w:rFonts w:hint="eastAsia"/>
        </w:rPr>
      </w:pPr>
    </w:p>
    <w:p w14:paraId="7A85BB80" w14:textId="77777777" w:rsidR="00786459" w:rsidRDefault="00000000">
      <w:pPr>
        <w:rPr>
          <w:rFonts w:hint="eastAsia"/>
        </w:rPr>
      </w:pPr>
      <w:r>
        <w:t>Interpretation: the mobile carrier is transit for the network redirection step. Safari is not transit; it is the target-side client component exploited in the #3 step. The privilege transition is an internal crossing annotated on the exploit step. Malware execution remains #7.</w:t>
      </w:r>
    </w:p>
    <w:p w14:paraId="77771695" w14:textId="77777777" w:rsidR="00786459" w:rsidRDefault="00000000">
      <w:pPr>
        <w:pStyle w:val="berschrift2"/>
      </w:pPr>
      <w:r>
        <w:t>11.2 iMessage zero-click, expanded form</w:t>
      </w:r>
    </w:p>
    <w:tbl>
      <w:tblPr>
        <w:tblW w:w="0" w:type="auto"/>
        <w:jc w:val="center"/>
        <w:tblLayout w:type="fixed"/>
        <w:tblLook w:val="04A0" w:firstRow="1" w:lastRow="0" w:firstColumn="1" w:lastColumn="0" w:noHBand="0" w:noVBand="1"/>
      </w:tblPr>
      <w:tblGrid>
        <w:gridCol w:w="9461"/>
      </w:tblGrid>
      <w:tr w:rsidR="00786459" w14:paraId="7A2420CF" w14:textId="77777777">
        <w:trPr>
          <w:jc w:val="center"/>
        </w:trPr>
        <w:tc>
          <w:tcPr>
            <w:tcW w:w="9461" w:type="dxa"/>
            <w:shd w:val="clear" w:color="auto" w:fill="F3F6F9"/>
            <w:tcMar>
              <w:top w:w="90" w:type="dxa"/>
              <w:left w:w="120" w:type="dxa"/>
              <w:bottom w:w="90" w:type="dxa"/>
              <w:right w:w="120" w:type="dxa"/>
            </w:tcMar>
          </w:tcPr>
          <w:p w14:paraId="2EAA405A" w14:textId="77777777" w:rsidR="00786459" w:rsidRDefault="00000000">
            <w:pPr>
              <w:pStyle w:val="CodeBlock"/>
              <w:spacing w:after="0"/>
              <w:rPr>
                <w:rFonts w:hint="eastAsia"/>
              </w:rPr>
            </w:pPr>
            <w:r>
              <w:t>#3 ||[messaging][@Attacker⇒@Apple(iMessage)→@Target]|| |[sandbox][@iMessage→@BlastDoor]| →</w:t>
            </w:r>
          </w:p>
          <w:p w14:paraId="547377AA" w14:textId="77777777" w:rsidR="00786459" w:rsidRDefault="00000000">
            <w:pPr>
              <w:pStyle w:val="CodeBlock"/>
              <w:spacing w:after="0"/>
              <w:rPr>
                <w:rFonts w:hint="eastAsia"/>
              </w:rPr>
            </w:pPr>
            <w:r>
              <w:t>#3 |[process][@BlastDoor→@WebKit.WebContent]| →</w:t>
            </w:r>
          </w:p>
          <w:p w14:paraId="6CC28CB9" w14:textId="77777777" w:rsidR="00786459" w:rsidRDefault="00000000">
            <w:pPr>
              <w:pStyle w:val="CodeBlock"/>
              <w:spacing w:after="0"/>
              <w:rPr>
                <w:rFonts w:hint="eastAsia"/>
              </w:rPr>
            </w:pPr>
            <w:r>
              <w:t>#3 |[process][@WebKit.WebContent→@coretelephony]| |[privilege][@user→@root]| →</w:t>
            </w:r>
          </w:p>
          <w:p w14:paraId="7E9D787C" w14:textId="77777777" w:rsidR="00786459" w:rsidRDefault="00000000">
            <w:pPr>
              <w:pStyle w:val="CodeBlock"/>
              <w:spacing w:after="0"/>
              <w:rPr>
                <w:rFonts w:hint="eastAsia"/>
              </w:rPr>
            </w:pPr>
            <w:r>
              <w:t>#7 + [DRE: C]</w:t>
            </w:r>
          </w:p>
        </w:tc>
      </w:tr>
    </w:tbl>
    <w:p w14:paraId="570B9777" w14:textId="77777777" w:rsidR="00786459" w:rsidRDefault="00786459">
      <w:pPr>
        <w:pStyle w:val="Small"/>
        <w:rPr>
          <w:rFonts w:hint="eastAsia"/>
        </w:rPr>
      </w:pPr>
    </w:p>
    <w:p w14:paraId="72BE8A37" w14:textId="77777777" w:rsidR="00786459" w:rsidRDefault="00000000">
      <w:pPr>
        <w:rPr>
          <w:rFonts w:hint="eastAsia"/>
        </w:rPr>
      </w:pPr>
      <w:r>
        <w:t>Interpretation: each new #3 step is justified only when evidence supports a distinct vulnerability-driven internal transition. The internal crossings remain effects and containment failures attached to #3, not new threat categories.</w:t>
      </w:r>
    </w:p>
    <w:p w14:paraId="12C965F5" w14:textId="77777777" w:rsidR="00786459" w:rsidRDefault="00000000">
      <w:pPr>
        <w:pStyle w:val="berschrift2"/>
      </w:pPr>
      <w:r>
        <w:t>11.3 OAuth phishing path</w:t>
      </w:r>
    </w:p>
    <w:tbl>
      <w:tblPr>
        <w:tblW w:w="0" w:type="auto"/>
        <w:jc w:val="center"/>
        <w:tblLayout w:type="fixed"/>
        <w:tblLook w:val="04A0" w:firstRow="1" w:lastRow="0" w:firstColumn="1" w:lastColumn="0" w:noHBand="0" w:noVBand="1"/>
      </w:tblPr>
      <w:tblGrid>
        <w:gridCol w:w="9461"/>
      </w:tblGrid>
      <w:tr w:rsidR="00786459" w14:paraId="002F857C" w14:textId="77777777">
        <w:trPr>
          <w:jc w:val="center"/>
        </w:trPr>
        <w:tc>
          <w:tcPr>
            <w:tcW w:w="9461" w:type="dxa"/>
            <w:shd w:val="clear" w:color="auto" w:fill="F3F6F9"/>
            <w:tcMar>
              <w:top w:w="90" w:type="dxa"/>
              <w:left w:w="120" w:type="dxa"/>
              <w:bottom w:w="90" w:type="dxa"/>
              <w:right w:w="120" w:type="dxa"/>
            </w:tcMar>
          </w:tcPr>
          <w:p w14:paraId="535912CA" w14:textId="77777777" w:rsidR="00786459" w:rsidRDefault="00000000">
            <w:pPr>
              <w:pStyle w:val="CodeBlock"/>
              <w:spacing w:after="0"/>
              <w:rPr>
                <w:rFonts w:hint="eastAsia"/>
              </w:rPr>
            </w:pPr>
            <w:r>
              <w:t>#9 ||[email][@Attacker⇒@Microsoft(M365)→@Target]|| →[Δt=hours]</w:t>
            </w:r>
          </w:p>
          <w:p w14:paraId="1B329E5C" w14:textId="77777777" w:rsidR="00786459" w:rsidRDefault="00000000">
            <w:pPr>
              <w:pStyle w:val="CodeBlock"/>
              <w:spacing w:after="0"/>
              <w:rPr>
                <w:rFonts w:hint="eastAsia"/>
              </w:rPr>
            </w:pPr>
            <w:r>
              <w:t>#4 ||[auth][@Attacker⇒@AzureAD.OAuth→@Target(CloudResources)]|| →[Δt≈0s]</w:t>
            </w:r>
          </w:p>
          <w:p w14:paraId="7FF1F421" w14:textId="77777777" w:rsidR="00786459" w:rsidRDefault="00000000">
            <w:pPr>
              <w:pStyle w:val="CodeBlock"/>
              <w:spacing w:after="0"/>
              <w:rPr>
                <w:rFonts w:hint="eastAsia"/>
              </w:rPr>
            </w:pPr>
            <w:r>
              <w:t>#1 + [DRE: C]</w:t>
            </w:r>
          </w:p>
        </w:tc>
      </w:tr>
    </w:tbl>
    <w:p w14:paraId="3A20A450" w14:textId="77777777" w:rsidR="00786459" w:rsidRDefault="00786459">
      <w:pPr>
        <w:pStyle w:val="Small"/>
        <w:rPr>
          <w:rFonts w:hint="eastAsia"/>
        </w:rPr>
      </w:pPr>
    </w:p>
    <w:p w14:paraId="114C68BC" w14:textId="77777777" w:rsidR="00786459" w:rsidRDefault="00000000">
      <w:pPr>
        <w:rPr>
          <w:rFonts w:hint="eastAsia"/>
        </w:rPr>
      </w:pPr>
      <w:r>
        <w:t>Interpretation: the email provider and identity provider are topological intermediaries. The use of stolen or coerced authorization remains #4. Subsequent abuse of legitimate cloud functions remains #1.</w:t>
      </w:r>
    </w:p>
    <w:p w14:paraId="3B5AA3BA" w14:textId="77777777" w:rsidR="00786459" w:rsidRDefault="00000000">
      <w:pPr>
        <w:pStyle w:val="berschrift2"/>
      </w:pPr>
      <w:r>
        <w:t>11.4 SS7 interception and account use</w:t>
      </w:r>
    </w:p>
    <w:tbl>
      <w:tblPr>
        <w:tblW w:w="0" w:type="auto"/>
        <w:jc w:val="center"/>
        <w:tblLayout w:type="fixed"/>
        <w:tblLook w:val="04A0" w:firstRow="1" w:lastRow="0" w:firstColumn="1" w:lastColumn="0" w:noHBand="0" w:noVBand="1"/>
      </w:tblPr>
      <w:tblGrid>
        <w:gridCol w:w="9461"/>
      </w:tblGrid>
      <w:tr w:rsidR="00786459" w14:paraId="301E4785" w14:textId="77777777">
        <w:trPr>
          <w:jc w:val="center"/>
        </w:trPr>
        <w:tc>
          <w:tcPr>
            <w:tcW w:w="9461" w:type="dxa"/>
            <w:shd w:val="clear" w:color="auto" w:fill="F3F6F9"/>
            <w:tcMar>
              <w:top w:w="90" w:type="dxa"/>
              <w:left w:w="120" w:type="dxa"/>
              <w:bottom w:w="90" w:type="dxa"/>
              <w:right w:w="120" w:type="dxa"/>
            </w:tcMar>
          </w:tcPr>
          <w:p w14:paraId="1F47EF96" w14:textId="77777777" w:rsidR="00786459" w:rsidRDefault="00000000">
            <w:pPr>
              <w:pStyle w:val="CodeBlock"/>
              <w:spacing w:after="0"/>
              <w:rPr>
                <w:rFonts w:hint="eastAsia"/>
              </w:rPr>
            </w:pPr>
            <w:r>
              <w:t>#5 ||[signaling][@Attacker⇒@CarrierB(SS7)⇒@CarrierA→@Target]|| →[Δt≈0s]</w:t>
            </w:r>
          </w:p>
          <w:p w14:paraId="25BF1F3E" w14:textId="77777777" w:rsidR="00786459" w:rsidRDefault="00000000">
            <w:pPr>
              <w:pStyle w:val="CodeBlock"/>
              <w:spacing w:after="0"/>
              <w:rPr>
                <w:rFonts w:hint="eastAsia"/>
              </w:rPr>
            </w:pPr>
            <w:r>
              <w:t>#4 →[Δt≈0s] #1 + [DRE: C]</w:t>
            </w:r>
          </w:p>
        </w:tc>
      </w:tr>
    </w:tbl>
    <w:p w14:paraId="14AA836C" w14:textId="77777777" w:rsidR="00786459" w:rsidRDefault="00786459">
      <w:pPr>
        <w:pStyle w:val="Small"/>
        <w:rPr>
          <w:rFonts w:hint="eastAsia"/>
        </w:rPr>
      </w:pPr>
    </w:p>
    <w:p w14:paraId="6C80925C" w14:textId="77777777" w:rsidR="00786459" w:rsidRDefault="00000000">
      <w:pPr>
        <w:rPr>
          <w:rFonts w:hint="eastAsia"/>
        </w:rPr>
      </w:pPr>
      <w:r>
        <w:t>Interpretation: chained transit is justified because two carriers each hold distinct control responsibility in the signaling path. Credential use remains #4, and follow-on misuse of legitimate application functions remains #1.</w:t>
      </w:r>
    </w:p>
    <w:p w14:paraId="1B7BC23E" w14:textId="77777777" w:rsidR="00786459" w:rsidRDefault="00000000">
      <w:pPr>
        <w:pStyle w:val="berschrift2"/>
      </w:pPr>
      <w:r>
        <w:t>11.5 VM escape in shared cloud</w:t>
      </w:r>
    </w:p>
    <w:tbl>
      <w:tblPr>
        <w:tblW w:w="0" w:type="auto"/>
        <w:jc w:val="center"/>
        <w:tblLayout w:type="fixed"/>
        <w:tblLook w:val="04A0" w:firstRow="1" w:lastRow="0" w:firstColumn="1" w:lastColumn="0" w:noHBand="0" w:noVBand="1"/>
      </w:tblPr>
      <w:tblGrid>
        <w:gridCol w:w="9461"/>
      </w:tblGrid>
      <w:tr w:rsidR="00786459" w:rsidRPr="00413C5F" w14:paraId="7AEB18B8" w14:textId="77777777">
        <w:trPr>
          <w:jc w:val="center"/>
        </w:trPr>
        <w:tc>
          <w:tcPr>
            <w:tcW w:w="9461" w:type="dxa"/>
            <w:shd w:val="clear" w:color="auto" w:fill="F3F6F9"/>
            <w:tcMar>
              <w:top w:w="90" w:type="dxa"/>
              <w:left w:w="120" w:type="dxa"/>
              <w:bottom w:w="90" w:type="dxa"/>
              <w:right w:w="120" w:type="dxa"/>
            </w:tcMar>
          </w:tcPr>
          <w:p w14:paraId="75D790DF" w14:textId="77777777" w:rsidR="00786459" w:rsidRDefault="00000000">
            <w:pPr>
              <w:pStyle w:val="CodeBlock"/>
              <w:spacing w:after="0"/>
              <w:rPr>
                <w:rFonts w:hint="eastAsia"/>
              </w:rPr>
            </w:pPr>
            <w:r>
              <w:t>#2 |[hypervisor][@GuestVM→@Hypervisor]| →[Δt≈0s]</w:t>
            </w:r>
          </w:p>
          <w:p w14:paraId="69DDBEBC" w14:textId="77777777" w:rsidR="00786459" w:rsidRPr="00413C5F" w:rsidRDefault="00000000">
            <w:pPr>
              <w:pStyle w:val="CodeBlock"/>
              <w:spacing w:after="0"/>
              <w:rPr>
                <w:rFonts w:hint="eastAsia"/>
                <w:lang w:val="de-CH"/>
              </w:rPr>
            </w:pPr>
            <w:r w:rsidRPr="00413C5F">
              <w:rPr>
                <w:lang w:val="de-CH"/>
              </w:rPr>
              <w:t>#1 |[</w:t>
            </w:r>
            <w:proofErr w:type="spellStart"/>
            <w:r w:rsidRPr="00413C5F">
              <w:rPr>
                <w:lang w:val="de-CH"/>
              </w:rPr>
              <w:t>hypervisor</w:t>
            </w:r>
            <w:proofErr w:type="spellEnd"/>
            <w:r w:rsidRPr="00413C5F">
              <w:rPr>
                <w:lang w:val="de-CH"/>
              </w:rPr>
              <w:t>][@Hypervisor→@</w:t>
            </w:r>
            <w:proofErr w:type="gramStart"/>
            <w:r w:rsidRPr="00413C5F">
              <w:rPr>
                <w:lang w:val="de-CH"/>
              </w:rPr>
              <w:t>VictimVM]|</w:t>
            </w:r>
            <w:proofErr w:type="gramEnd"/>
            <w:r w:rsidRPr="00413C5F">
              <w:rPr>
                <w:lang w:val="de-CH"/>
              </w:rPr>
              <w:t xml:space="preserve"> ||[</w:t>
            </w:r>
            <w:proofErr w:type="spellStart"/>
            <w:r w:rsidRPr="00413C5F">
              <w:rPr>
                <w:lang w:val="de-CH"/>
              </w:rPr>
              <w:t>cloud</w:t>
            </w:r>
            <w:proofErr w:type="spellEnd"/>
            <w:r w:rsidRPr="00413C5F">
              <w:rPr>
                <w:lang w:val="de-CH"/>
              </w:rPr>
              <w:t>][@</w:t>
            </w:r>
            <w:proofErr w:type="gramStart"/>
            <w:r w:rsidRPr="00413C5F">
              <w:rPr>
                <w:lang w:val="de-CH"/>
              </w:rPr>
              <w:t>Attacker(</w:t>
            </w:r>
            <w:proofErr w:type="gramEnd"/>
            <w:r w:rsidRPr="00413C5F">
              <w:rPr>
                <w:lang w:val="de-CH"/>
              </w:rPr>
              <w:t>Tenant)⇒@CloudProvider→@</w:t>
            </w:r>
            <w:proofErr w:type="gramStart"/>
            <w:r w:rsidRPr="00413C5F">
              <w:rPr>
                <w:lang w:val="de-CH"/>
              </w:rPr>
              <w:t>Victim(</w:t>
            </w:r>
            <w:proofErr w:type="gramEnd"/>
            <w:r w:rsidRPr="00413C5F">
              <w:rPr>
                <w:lang w:val="de-CH"/>
              </w:rPr>
              <w:t>Tenant</w:t>
            </w:r>
            <w:proofErr w:type="gramStart"/>
            <w:r w:rsidRPr="00413C5F">
              <w:rPr>
                <w:lang w:val="de-CH"/>
              </w:rPr>
              <w:t>)]|</w:t>
            </w:r>
            <w:proofErr w:type="gramEnd"/>
            <w:r w:rsidRPr="00413C5F">
              <w:rPr>
                <w:lang w:val="de-CH"/>
              </w:rPr>
              <w:t>| + [DRE: C]</w:t>
            </w:r>
          </w:p>
        </w:tc>
      </w:tr>
    </w:tbl>
    <w:p w14:paraId="282056A9" w14:textId="77777777" w:rsidR="00786459" w:rsidRPr="00413C5F" w:rsidRDefault="00786459">
      <w:pPr>
        <w:pStyle w:val="Small"/>
        <w:rPr>
          <w:rFonts w:hint="eastAsia"/>
          <w:lang w:val="de-CH"/>
        </w:rPr>
      </w:pPr>
    </w:p>
    <w:p w14:paraId="7BA96922" w14:textId="77777777" w:rsidR="00786459" w:rsidRDefault="00000000">
      <w:pPr>
        <w:rPr>
          <w:rFonts w:hint="eastAsia"/>
        </w:rPr>
      </w:pPr>
      <w:r>
        <w:t>Interpretation: the hypervisor flaw is a #2 step. The later abuse of legitimate hypervisor or management functions is #1. The cloud provider is transit for the cross-tenant boundary, but not the threat category.</w:t>
      </w:r>
    </w:p>
    <w:p w14:paraId="2D333217" w14:textId="77777777" w:rsidR="00786459" w:rsidRDefault="00000000">
      <w:pPr>
        <w:pStyle w:val="berschrift2"/>
      </w:pPr>
      <w:r>
        <w:t>11.6 Local script to SYSTEM via misconfiguration</w:t>
      </w:r>
    </w:p>
    <w:tbl>
      <w:tblPr>
        <w:tblW w:w="0" w:type="auto"/>
        <w:jc w:val="center"/>
        <w:tblLayout w:type="fixed"/>
        <w:tblLook w:val="04A0" w:firstRow="1" w:lastRow="0" w:firstColumn="1" w:lastColumn="0" w:noHBand="0" w:noVBand="1"/>
      </w:tblPr>
      <w:tblGrid>
        <w:gridCol w:w="9461"/>
      </w:tblGrid>
      <w:tr w:rsidR="00786459" w14:paraId="72642DD5" w14:textId="77777777">
        <w:trPr>
          <w:jc w:val="center"/>
        </w:trPr>
        <w:tc>
          <w:tcPr>
            <w:tcW w:w="9461" w:type="dxa"/>
            <w:shd w:val="clear" w:color="auto" w:fill="F3F6F9"/>
            <w:tcMar>
              <w:top w:w="90" w:type="dxa"/>
              <w:left w:w="120" w:type="dxa"/>
              <w:bottom w:w="90" w:type="dxa"/>
              <w:right w:w="120" w:type="dxa"/>
            </w:tcMar>
          </w:tcPr>
          <w:p w14:paraId="20157632" w14:textId="77777777" w:rsidR="00786459" w:rsidRDefault="00000000">
            <w:pPr>
              <w:pStyle w:val="CodeBlock"/>
              <w:spacing w:after="0"/>
              <w:rPr>
                <w:rFonts w:hint="eastAsia"/>
              </w:rPr>
            </w:pPr>
            <w:r>
              <w:t>#7 → #1 |[privilege][@user→@SYSTEM]|</w:t>
            </w:r>
          </w:p>
        </w:tc>
      </w:tr>
    </w:tbl>
    <w:p w14:paraId="083F4423" w14:textId="77777777" w:rsidR="00786459" w:rsidRDefault="00786459">
      <w:pPr>
        <w:pStyle w:val="Small"/>
        <w:rPr>
          <w:rFonts w:hint="eastAsia"/>
        </w:rPr>
      </w:pPr>
    </w:p>
    <w:p w14:paraId="7E259AA6" w14:textId="77777777" w:rsidR="00786459" w:rsidRDefault="00000000">
      <w:r>
        <w:t>Interpretation: the notation makes clear that the system privilege state changes, but the cause remains abuse of a legitimate local function or configuration weakness rather than an invented “privilege escalation cluster”.</w:t>
      </w:r>
    </w:p>
    <w:p w14:paraId="3A87E821" w14:textId="56174BEC" w:rsidR="00413C5F" w:rsidRDefault="00413C5F" w:rsidP="00413C5F">
      <w:pPr>
        <w:pStyle w:val="berschrift2"/>
      </w:pPr>
      <w:r>
        <w:t>11.</w:t>
      </w:r>
      <w:r>
        <w:t>8</w:t>
      </w:r>
      <w:r>
        <w:t xml:space="preserve"> </w:t>
      </w:r>
      <w:r w:rsidRPr="00413C5F">
        <w:t>Pegasus Photostream delivery</w:t>
      </w:r>
    </w:p>
    <w:tbl>
      <w:tblPr>
        <w:tblW w:w="0" w:type="auto"/>
        <w:jc w:val="center"/>
        <w:tblLayout w:type="fixed"/>
        <w:tblLook w:val="04A0" w:firstRow="1" w:lastRow="0" w:firstColumn="1" w:lastColumn="0" w:noHBand="0" w:noVBand="1"/>
      </w:tblPr>
      <w:tblGrid>
        <w:gridCol w:w="9461"/>
      </w:tblGrid>
      <w:tr w:rsidR="00413C5F" w14:paraId="771045B4" w14:textId="77777777" w:rsidTr="002068CD">
        <w:trPr>
          <w:jc w:val="center"/>
        </w:trPr>
        <w:tc>
          <w:tcPr>
            <w:tcW w:w="9461" w:type="dxa"/>
            <w:shd w:val="clear" w:color="auto" w:fill="F3F6F9"/>
            <w:tcMar>
              <w:top w:w="90" w:type="dxa"/>
              <w:left w:w="120" w:type="dxa"/>
              <w:bottom w:w="90" w:type="dxa"/>
              <w:right w:w="120" w:type="dxa"/>
            </w:tcMar>
          </w:tcPr>
          <w:p w14:paraId="41E1B7BC" w14:textId="77777777" w:rsidR="00413C5F" w:rsidRDefault="00413C5F" w:rsidP="00413C5F">
            <w:pPr>
              <w:pStyle w:val="CodeBlock"/>
              <w:spacing w:after="0"/>
            </w:pPr>
            <w:r>
              <w:t>#1 ||[cloud][@Attacker(</w:t>
            </w:r>
            <w:proofErr w:type="gramStart"/>
            <w:r>
              <w:t>bogaardlisa803@gmail.com)</w:t>
            </w:r>
            <w:r>
              <w:rPr>
                <w:rFonts w:hint="eastAsia"/>
              </w:rPr>
              <w:t>⇒</w:t>
            </w:r>
            <w:proofErr w:type="gramEnd"/>
            <w:r>
              <w:t>@</w:t>
            </w:r>
            <w:proofErr w:type="gramStart"/>
            <w:r>
              <w:t>Apple(iCloud.Photostream)</w:t>
            </w:r>
            <w:r>
              <w:rPr>
                <w:rFonts w:hint="eastAsia"/>
              </w:rPr>
              <w:t>→</w:t>
            </w:r>
            <w:proofErr w:type="gramEnd"/>
            <w:r>
              <w:t>@</w:t>
            </w:r>
            <w:proofErr w:type="gramStart"/>
            <w:r>
              <w:t>Target(</w:t>
            </w:r>
            <w:proofErr w:type="gramEnd"/>
            <w:r>
              <w:t>Photos</w:t>
            </w:r>
            <w:proofErr w:type="gramStart"/>
            <w:r>
              <w:t>)]|</w:t>
            </w:r>
            <w:proofErr w:type="gramEnd"/>
            <w:r>
              <w:t xml:space="preserve">| </w:t>
            </w:r>
            <w:r>
              <w:rPr>
                <w:rFonts w:hint="eastAsia"/>
              </w:rPr>
              <w:t>→</w:t>
            </w:r>
            <w:r>
              <w:t>[Δt≈0s]</w:t>
            </w:r>
          </w:p>
          <w:p w14:paraId="0B527287" w14:textId="77777777" w:rsidR="00413C5F" w:rsidRDefault="00413C5F" w:rsidP="00413C5F">
            <w:pPr>
              <w:pStyle w:val="CodeBlock"/>
              <w:spacing w:after="0"/>
            </w:pPr>
            <w:r>
              <w:t>#3 |[privilege][@user</w:t>
            </w:r>
            <w:r>
              <w:rPr>
                <w:rFonts w:hint="eastAsia"/>
              </w:rPr>
              <w:t>→</w:t>
            </w:r>
            <w:r>
              <w:t>@</w:t>
            </w:r>
            <w:proofErr w:type="gramStart"/>
            <w:r>
              <w:t>root]|</w:t>
            </w:r>
            <w:proofErr w:type="gramEnd"/>
            <w:r>
              <w:t xml:space="preserve"> </w:t>
            </w:r>
            <w:r>
              <w:rPr>
                <w:rFonts w:hint="eastAsia"/>
              </w:rPr>
              <w:t>→</w:t>
            </w:r>
            <w:r>
              <w:t>[Δt≈0s]</w:t>
            </w:r>
          </w:p>
          <w:p w14:paraId="0AE10F2F" w14:textId="7500669A" w:rsidR="00413C5F" w:rsidRDefault="00413C5F" w:rsidP="00413C5F">
            <w:pPr>
              <w:pStyle w:val="CodeBlock"/>
              <w:spacing w:after="0"/>
              <w:rPr>
                <w:rFonts w:hint="eastAsia"/>
              </w:rPr>
            </w:pPr>
            <w:r>
              <w:t>#7 + [DRE: C]</w:t>
            </w:r>
          </w:p>
        </w:tc>
      </w:tr>
    </w:tbl>
    <w:p w14:paraId="464EFD1B" w14:textId="77777777" w:rsidR="00413C5F" w:rsidRDefault="00413C5F" w:rsidP="00413C5F">
      <w:pPr>
        <w:pStyle w:val="Small"/>
        <w:rPr>
          <w:rFonts w:hint="eastAsia"/>
        </w:rPr>
      </w:pPr>
    </w:p>
    <w:p w14:paraId="5DD7CAB2" w14:textId="5A7B6865" w:rsidR="00413C5F" w:rsidRDefault="00413C5F" w:rsidP="00413C5F">
      <w:pPr>
        <w:rPr>
          <w:rFonts w:hint="eastAsia"/>
        </w:rPr>
      </w:pPr>
      <w:r>
        <w:t xml:space="preserve">Interpretation: </w:t>
      </w:r>
      <w:r w:rsidRPr="00413C5F">
        <w:t>the attacker abuses the designed auto-delivery scope of Apple's iCloud Photostream service to push crafted media to the target device. This is #1 because Photostream functions as designed — no code flaw is exploited in the delivery mechanism itself. Apple'</w:t>
      </w:r>
      <w:r w:rsidRPr="00413C5F">
        <w:rPr>
          <w:rFonts w:hint="eastAsia"/>
        </w:rPr>
        <w:t xml:space="preserve">s iCloud service is transit because its relay infrastructure sits between the attacker's iCloud account and the target's device. The #3 step is the client-side parsing flaw in the Photos app that triggers the unintended </w:t>
      </w:r>
      <w:proofErr w:type="spellStart"/>
      <w:r w:rsidRPr="00413C5F">
        <w:rPr>
          <w:rFonts w:hint="eastAsia"/>
        </w:rPr>
        <w:t>data</w:t>
      </w:r>
      <w:r w:rsidRPr="00413C5F">
        <w:rPr>
          <w:rFonts w:hint="eastAsia"/>
        </w:rPr>
        <w:t>→</w:t>
      </w:r>
      <w:r w:rsidRPr="00413C5F">
        <w:rPr>
          <w:rFonts w:hint="eastAsia"/>
        </w:rPr>
        <w:t>code</w:t>
      </w:r>
      <w:proofErr w:type="spellEnd"/>
      <w:r w:rsidRPr="00413C5F">
        <w:rPr>
          <w:rFonts w:hint="eastAsia"/>
        </w:rPr>
        <w:t xml:space="preserve"> transition. The privilege </w:t>
      </w:r>
      <w:r w:rsidRPr="00413C5F">
        <w:t>crossing is annotated on the #3 step. Note that #1 at a transit boundary is structurally valid: the transit operator marks topology, the cluster marks cause, and the two are independent per SG-2.</w:t>
      </w:r>
    </w:p>
    <w:p w14:paraId="03AACB65" w14:textId="77777777" w:rsidR="00786459" w:rsidRDefault="00000000">
      <w:pPr>
        <w:pStyle w:val="berschrift1"/>
      </w:pPr>
      <w:r>
        <w:t>12. Conformance requirements</w:t>
      </w:r>
    </w:p>
    <w:p w14:paraId="4A49832F" w14:textId="77777777" w:rsidR="00786459" w:rsidRDefault="00000000">
      <w:pPr>
        <w:rPr>
          <w:rFonts w:hint="eastAsia"/>
        </w:rPr>
      </w:pPr>
      <w:r>
        <w:t>An implementation conforms to this specification if it satisfies all of the following:</w:t>
      </w:r>
    </w:p>
    <w:p w14:paraId="013A8356" w14:textId="77777777" w:rsidR="00786459" w:rsidRDefault="00000000">
      <w:pPr>
        <w:ind w:left="403" w:hanging="317"/>
        <w:rPr>
          <w:rFonts w:hint="eastAsia"/>
        </w:rPr>
      </w:pPr>
      <w:r>
        <w:rPr>
          <w:b/>
          <w:color w:val="1F4E79"/>
        </w:rPr>
        <w:t xml:space="preserve">1. </w:t>
      </w:r>
      <w:r>
        <w:t>accepts all valid v2.0 notation without semantic change;</w:t>
      </w:r>
    </w:p>
    <w:p w14:paraId="3CCD24E0" w14:textId="77777777" w:rsidR="00786459" w:rsidRDefault="00000000">
      <w:pPr>
        <w:ind w:left="403" w:hanging="317"/>
        <w:rPr>
          <w:rFonts w:hint="eastAsia"/>
        </w:rPr>
      </w:pPr>
      <w:r>
        <w:rPr>
          <w:b/>
          <w:color w:val="1F4E79"/>
        </w:rPr>
        <w:t xml:space="preserve">2. </w:t>
      </w:r>
      <w:r>
        <w:t>accepts both Unicode and ASCII transport forms for the v2.1 operators;</w:t>
      </w:r>
    </w:p>
    <w:p w14:paraId="250C8CC7" w14:textId="77777777" w:rsidR="00786459" w:rsidRDefault="00000000">
      <w:pPr>
        <w:ind w:left="403" w:hanging="317"/>
        <w:rPr>
          <w:rFonts w:hint="eastAsia"/>
        </w:rPr>
      </w:pPr>
      <w:r>
        <w:rPr>
          <w:b/>
          <w:color w:val="1F4E79"/>
        </w:rPr>
        <w:t xml:space="preserve">3. </w:t>
      </w:r>
      <w:r>
        <w:t>parses the transit operator only as a topological intermediary annotation;</w:t>
      </w:r>
    </w:p>
    <w:p w14:paraId="6D8186B5" w14:textId="77777777" w:rsidR="00786459" w:rsidRDefault="00000000">
      <w:pPr>
        <w:ind w:left="403" w:hanging="317"/>
        <w:rPr>
          <w:rFonts w:hint="eastAsia"/>
        </w:rPr>
      </w:pPr>
      <w:r>
        <w:rPr>
          <w:b/>
          <w:color w:val="1F4E79"/>
        </w:rPr>
        <w:t xml:space="preserve">4. </w:t>
      </w:r>
      <w:r>
        <w:t>parses the intra-system operator only as a cluster-attached internal-boundary annotation;</w:t>
      </w:r>
    </w:p>
    <w:p w14:paraId="1D19B47C" w14:textId="77777777" w:rsidR="00786459" w:rsidRDefault="00000000">
      <w:pPr>
        <w:ind w:left="403" w:hanging="317"/>
        <w:rPr>
          <w:rFonts w:hint="eastAsia"/>
        </w:rPr>
      </w:pPr>
      <w:r>
        <w:rPr>
          <w:b/>
          <w:color w:val="1F4E79"/>
        </w:rPr>
        <w:t xml:space="preserve">5. </w:t>
      </w:r>
      <w:r>
        <w:t>preserves cluster classification independently from all annotations;</w:t>
      </w:r>
    </w:p>
    <w:p w14:paraId="7E2DADB8" w14:textId="77777777" w:rsidR="00786459" w:rsidRDefault="00000000">
      <w:pPr>
        <w:ind w:left="403" w:hanging="317"/>
        <w:rPr>
          <w:rFonts w:hint="eastAsia"/>
        </w:rPr>
      </w:pPr>
      <w:r>
        <w:rPr>
          <w:b/>
          <w:color w:val="1F4E79"/>
        </w:rPr>
        <w:t xml:space="preserve">6. </w:t>
      </w:r>
      <w:r>
        <w:t>supports compressed and expanded intra-system expression without conflating them;</w:t>
      </w:r>
    </w:p>
    <w:p w14:paraId="396E6048" w14:textId="77777777" w:rsidR="00786459" w:rsidRDefault="00000000">
      <w:pPr>
        <w:ind w:left="403" w:hanging="317"/>
        <w:rPr>
          <w:rFonts w:hint="eastAsia"/>
        </w:rPr>
      </w:pPr>
      <w:r>
        <w:rPr>
          <w:b/>
          <w:color w:val="1F4E79"/>
        </w:rPr>
        <w:t xml:space="preserve">7. </w:t>
      </w:r>
      <w:r>
        <w:t>can strip v2.1 annotations and recover the underlying cluster sequence;</w:t>
      </w:r>
    </w:p>
    <w:p w14:paraId="5A708E7C" w14:textId="77777777" w:rsidR="00786459" w:rsidRDefault="00000000">
      <w:pPr>
        <w:ind w:left="403" w:hanging="317"/>
        <w:rPr>
          <w:rFonts w:hint="eastAsia"/>
        </w:rPr>
      </w:pPr>
      <w:r>
        <w:rPr>
          <w:b/>
          <w:color w:val="1F4E79"/>
        </w:rPr>
        <w:t xml:space="preserve">8. </w:t>
      </w:r>
      <w:r>
        <w:t>rejects or warns on standalone intra-system boundaries or transit misuse for vendor-on-target cases.</w:t>
      </w:r>
    </w:p>
    <w:p w14:paraId="2B170D34" w14:textId="77777777" w:rsidR="00786459" w:rsidRDefault="00000000">
      <w:pPr>
        <w:rPr>
          <w:rFonts w:hint="eastAsia"/>
        </w:rPr>
      </w:pPr>
      <w:r>
        <w:t>A human analyst may still produce semantically poor notation even if the parser accepts it. Implementations are encouraged to provide linting rules in addition to pure syntax validation.</w:t>
      </w:r>
    </w:p>
    <w:p w14:paraId="2E625BC8" w14:textId="77777777" w:rsidR="00786459" w:rsidRDefault="00000000">
      <w:pPr>
        <w:rPr>
          <w:rFonts w:hint="eastAsia"/>
        </w:rPr>
      </w:pPr>
      <w:r>
        <w:br w:type="page"/>
      </w:r>
    </w:p>
    <w:p w14:paraId="0E67E3F9" w14:textId="77777777" w:rsidR="00786459" w:rsidRDefault="00000000">
      <w:pPr>
        <w:pStyle w:val="berschrift1"/>
      </w:pPr>
      <w:r>
        <w:lastRenderedPageBreak/>
        <w:t>Appendix A. Symbol table</w:t>
      </w:r>
    </w:p>
    <w:tbl>
      <w:tblPr>
        <w:tblStyle w:val="Tabellenraster"/>
        <w:tblW w:w="0" w:type="auto"/>
        <w:jc w:val="center"/>
        <w:tblLayout w:type="fixed"/>
        <w:tblLook w:val="04A0" w:firstRow="1" w:lastRow="0" w:firstColumn="1" w:lastColumn="0" w:noHBand="0" w:noVBand="1"/>
      </w:tblPr>
      <w:tblGrid>
        <w:gridCol w:w="1440"/>
        <w:gridCol w:w="7488"/>
      </w:tblGrid>
      <w:tr w:rsidR="00786459" w14:paraId="02E331C7" w14:textId="77777777">
        <w:trPr>
          <w:jc w:val="center"/>
        </w:trPr>
        <w:tc>
          <w:tcPr>
            <w:tcW w:w="1440" w:type="dxa"/>
            <w:shd w:val="clear" w:color="auto" w:fill="EAF0F6"/>
            <w:tcMar>
              <w:top w:w="80" w:type="dxa"/>
              <w:left w:w="90" w:type="dxa"/>
              <w:bottom w:w="80" w:type="dxa"/>
              <w:right w:w="90" w:type="dxa"/>
            </w:tcMar>
            <w:vAlign w:val="center"/>
          </w:tcPr>
          <w:p w14:paraId="42A1728A" w14:textId="77777777" w:rsidR="00786459" w:rsidRDefault="00000000">
            <w:pPr>
              <w:rPr>
                <w:rFonts w:hint="eastAsia"/>
              </w:rPr>
            </w:pPr>
            <w:r>
              <w:rPr>
                <w:b/>
                <w:color w:val="1F4E79"/>
                <w:sz w:val="18"/>
              </w:rPr>
              <w:t>Symbol</w:t>
            </w:r>
          </w:p>
        </w:tc>
        <w:tc>
          <w:tcPr>
            <w:tcW w:w="7488" w:type="dxa"/>
            <w:shd w:val="clear" w:color="auto" w:fill="EAF0F6"/>
            <w:tcMar>
              <w:top w:w="80" w:type="dxa"/>
              <w:left w:w="90" w:type="dxa"/>
              <w:bottom w:w="80" w:type="dxa"/>
              <w:right w:w="90" w:type="dxa"/>
            </w:tcMar>
            <w:vAlign w:val="center"/>
          </w:tcPr>
          <w:p w14:paraId="46B402FB" w14:textId="77777777" w:rsidR="00786459" w:rsidRDefault="00000000">
            <w:pPr>
              <w:rPr>
                <w:rFonts w:hint="eastAsia"/>
              </w:rPr>
            </w:pPr>
            <w:r>
              <w:rPr>
                <w:b/>
                <w:color w:val="1F4E79"/>
                <w:sz w:val="18"/>
              </w:rPr>
              <w:t>Meaning</w:t>
            </w:r>
          </w:p>
        </w:tc>
      </w:tr>
      <w:tr w:rsidR="00786459" w14:paraId="33D719C0" w14:textId="77777777">
        <w:trPr>
          <w:jc w:val="center"/>
        </w:trPr>
        <w:tc>
          <w:tcPr>
            <w:tcW w:w="1440" w:type="dxa"/>
            <w:vAlign w:val="center"/>
          </w:tcPr>
          <w:p w14:paraId="60F9438E" w14:textId="77777777" w:rsidR="00786459" w:rsidRDefault="00000000">
            <w:pPr>
              <w:rPr>
                <w:rFonts w:hint="eastAsia"/>
              </w:rPr>
            </w:pPr>
            <w:r>
              <w:rPr>
                <w:sz w:val="18"/>
              </w:rPr>
              <w:t>→</w:t>
            </w:r>
          </w:p>
        </w:tc>
        <w:tc>
          <w:tcPr>
            <w:tcW w:w="7488" w:type="dxa"/>
            <w:vAlign w:val="center"/>
          </w:tcPr>
          <w:p w14:paraId="55A19B7E" w14:textId="77777777" w:rsidR="00786459" w:rsidRDefault="00000000">
            <w:pPr>
              <w:rPr>
                <w:rFonts w:hint="eastAsia"/>
              </w:rPr>
            </w:pPr>
            <w:r>
              <w:rPr>
                <w:sz w:val="18"/>
              </w:rPr>
              <w:t>Sequential step ordering or directional relationship</w:t>
            </w:r>
          </w:p>
        </w:tc>
      </w:tr>
      <w:tr w:rsidR="00786459" w14:paraId="0F4961A1" w14:textId="77777777">
        <w:trPr>
          <w:jc w:val="center"/>
        </w:trPr>
        <w:tc>
          <w:tcPr>
            <w:tcW w:w="1440" w:type="dxa"/>
            <w:vAlign w:val="center"/>
          </w:tcPr>
          <w:p w14:paraId="5E03A095" w14:textId="77777777" w:rsidR="00786459" w:rsidRDefault="00000000">
            <w:pPr>
              <w:rPr>
                <w:rFonts w:hint="eastAsia"/>
              </w:rPr>
            </w:pPr>
            <w:r>
              <w:rPr>
                <w:sz w:val="18"/>
              </w:rPr>
              <w:t>⇒</w:t>
            </w:r>
          </w:p>
        </w:tc>
        <w:tc>
          <w:tcPr>
            <w:tcW w:w="7488" w:type="dxa"/>
            <w:vAlign w:val="center"/>
          </w:tcPr>
          <w:p w14:paraId="4C34590F" w14:textId="77777777" w:rsidR="00786459" w:rsidRDefault="00000000">
            <w:pPr>
              <w:rPr>
                <w:rFonts w:hint="eastAsia"/>
              </w:rPr>
            </w:pPr>
            <w:r>
              <w:rPr>
                <w:sz w:val="18"/>
              </w:rPr>
              <w:t>Transit relationship to a topological intermediary</w:t>
            </w:r>
          </w:p>
        </w:tc>
      </w:tr>
      <w:tr w:rsidR="00786459" w14:paraId="326340C7" w14:textId="77777777">
        <w:trPr>
          <w:jc w:val="center"/>
        </w:trPr>
        <w:tc>
          <w:tcPr>
            <w:tcW w:w="1440" w:type="dxa"/>
            <w:vAlign w:val="center"/>
          </w:tcPr>
          <w:p w14:paraId="0D33146A" w14:textId="77777777" w:rsidR="00786459" w:rsidRDefault="00000000">
            <w:pPr>
              <w:rPr>
                <w:rFonts w:hint="eastAsia"/>
              </w:rPr>
            </w:pPr>
            <w:r>
              <w:rPr>
                <w:sz w:val="18"/>
              </w:rPr>
              <w:t>||</w:t>
            </w:r>
          </w:p>
        </w:tc>
        <w:tc>
          <w:tcPr>
            <w:tcW w:w="7488" w:type="dxa"/>
            <w:vAlign w:val="center"/>
          </w:tcPr>
          <w:p w14:paraId="7BA2DF73" w14:textId="77777777" w:rsidR="00786459" w:rsidRDefault="00000000">
            <w:pPr>
              <w:rPr>
                <w:rFonts w:hint="eastAsia"/>
              </w:rPr>
            </w:pPr>
            <w:r>
              <w:rPr>
                <w:sz w:val="18"/>
              </w:rPr>
              <w:t>Inter-organizational boundary delimiter</w:t>
            </w:r>
          </w:p>
        </w:tc>
      </w:tr>
      <w:tr w:rsidR="00786459" w14:paraId="45A07D42" w14:textId="77777777">
        <w:trPr>
          <w:jc w:val="center"/>
        </w:trPr>
        <w:tc>
          <w:tcPr>
            <w:tcW w:w="1440" w:type="dxa"/>
            <w:vAlign w:val="center"/>
          </w:tcPr>
          <w:p w14:paraId="24B8F1D4" w14:textId="77777777" w:rsidR="00786459" w:rsidRDefault="00000000">
            <w:pPr>
              <w:rPr>
                <w:rFonts w:hint="eastAsia"/>
              </w:rPr>
            </w:pPr>
            <w:r>
              <w:rPr>
                <w:sz w:val="18"/>
              </w:rPr>
              <w:t>|</w:t>
            </w:r>
          </w:p>
        </w:tc>
        <w:tc>
          <w:tcPr>
            <w:tcW w:w="7488" w:type="dxa"/>
            <w:vAlign w:val="center"/>
          </w:tcPr>
          <w:p w14:paraId="66221C31" w14:textId="77777777" w:rsidR="00786459" w:rsidRDefault="00000000">
            <w:pPr>
              <w:rPr>
                <w:rFonts w:hint="eastAsia"/>
              </w:rPr>
            </w:pPr>
            <w:r>
              <w:rPr>
                <w:sz w:val="18"/>
              </w:rPr>
              <w:t>Intra-system boundary delimiter</w:t>
            </w:r>
          </w:p>
        </w:tc>
      </w:tr>
      <w:tr w:rsidR="00786459" w14:paraId="496F655F" w14:textId="77777777">
        <w:trPr>
          <w:jc w:val="center"/>
        </w:trPr>
        <w:tc>
          <w:tcPr>
            <w:tcW w:w="1440" w:type="dxa"/>
            <w:vAlign w:val="center"/>
          </w:tcPr>
          <w:p w14:paraId="38F237AD" w14:textId="77777777" w:rsidR="00786459" w:rsidRDefault="00000000">
            <w:pPr>
              <w:rPr>
                <w:rFonts w:hint="eastAsia"/>
              </w:rPr>
            </w:pPr>
            <w:r>
              <w:rPr>
                <w:sz w:val="18"/>
              </w:rPr>
              <w:t>Δt</w:t>
            </w:r>
          </w:p>
        </w:tc>
        <w:tc>
          <w:tcPr>
            <w:tcW w:w="7488" w:type="dxa"/>
            <w:vAlign w:val="center"/>
          </w:tcPr>
          <w:p w14:paraId="3F4EB480" w14:textId="77777777" w:rsidR="00786459" w:rsidRDefault="00000000">
            <w:pPr>
              <w:rPr>
                <w:rFonts w:hint="eastAsia"/>
              </w:rPr>
            </w:pPr>
            <w:r>
              <w:rPr>
                <w:sz w:val="18"/>
              </w:rPr>
              <w:t>Time gap or velocity annotation</w:t>
            </w:r>
          </w:p>
        </w:tc>
      </w:tr>
      <w:tr w:rsidR="00786459" w14:paraId="7EFA2E70" w14:textId="77777777">
        <w:trPr>
          <w:jc w:val="center"/>
        </w:trPr>
        <w:tc>
          <w:tcPr>
            <w:tcW w:w="1440" w:type="dxa"/>
            <w:vAlign w:val="center"/>
          </w:tcPr>
          <w:p w14:paraId="5190C34E" w14:textId="77777777" w:rsidR="00786459" w:rsidRDefault="00000000">
            <w:pPr>
              <w:rPr>
                <w:rFonts w:hint="eastAsia"/>
              </w:rPr>
            </w:pPr>
            <w:r>
              <w:rPr>
                <w:sz w:val="18"/>
              </w:rPr>
              <w:t>+</w:t>
            </w:r>
          </w:p>
        </w:tc>
        <w:tc>
          <w:tcPr>
            <w:tcW w:w="7488" w:type="dxa"/>
            <w:vAlign w:val="center"/>
          </w:tcPr>
          <w:p w14:paraId="39A1605A" w14:textId="77777777" w:rsidR="00786459" w:rsidRDefault="00000000">
            <w:pPr>
              <w:rPr>
                <w:rFonts w:hint="eastAsia"/>
              </w:rPr>
            </w:pPr>
            <w:r>
              <w:rPr>
                <w:sz w:val="18"/>
              </w:rPr>
              <w:t>Parallel combination or DRE attachment</w:t>
            </w:r>
          </w:p>
        </w:tc>
      </w:tr>
      <w:tr w:rsidR="00786459" w14:paraId="466A3E1E" w14:textId="77777777">
        <w:trPr>
          <w:jc w:val="center"/>
        </w:trPr>
        <w:tc>
          <w:tcPr>
            <w:tcW w:w="1440" w:type="dxa"/>
            <w:vAlign w:val="center"/>
          </w:tcPr>
          <w:p w14:paraId="5ED48568" w14:textId="77777777" w:rsidR="00786459" w:rsidRDefault="00000000">
            <w:pPr>
              <w:rPr>
                <w:rFonts w:hint="eastAsia"/>
              </w:rPr>
            </w:pPr>
            <w:r>
              <w:rPr>
                <w:sz w:val="18"/>
              </w:rPr>
              <w:t>@</w:t>
            </w:r>
          </w:p>
        </w:tc>
        <w:tc>
          <w:tcPr>
            <w:tcW w:w="7488" w:type="dxa"/>
            <w:vAlign w:val="center"/>
          </w:tcPr>
          <w:p w14:paraId="1A0ED767" w14:textId="77777777" w:rsidR="00786459" w:rsidRDefault="00000000">
            <w:pPr>
              <w:rPr>
                <w:rFonts w:hint="eastAsia"/>
              </w:rPr>
            </w:pPr>
            <w:r>
              <w:rPr>
                <w:sz w:val="18"/>
              </w:rPr>
              <w:t>Responsibility sphere prefix</w:t>
            </w:r>
          </w:p>
        </w:tc>
      </w:tr>
      <w:tr w:rsidR="00786459" w14:paraId="003F49AF" w14:textId="77777777">
        <w:trPr>
          <w:jc w:val="center"/>
        </w:trPr>
        <w:tc>
          <w:tcPr>
            <w:tcW w:w="1440" w:type="dxa"/>
            <w:vAlign w:val="center"/>
          </w:tcPr>
          <w:p w14:paraId="74DDEB79" w14:textId="77777777" w:rsidR="00786459" w:rsidRDefault="00000000">
            <w:pPr>
              <w:rPr>
                <w:rFonts w:hint="eastAsia"/>
              </w:rPr>
            </w:pPr>
            <w:r>
              <w:rPr>
                <w:sz w:val="18"/>
              </w:rPr>
              <w:t>#</w:t>
            </w:r>
          </w:p>
        </w:tc>
        <w:tc>
          <w:tcPr>
            <w:tcW w:w="7488" w:type="dxa"/>
            <w:vAlign w:val="center"/>
          </w:tcPr>
          <w:p w14:paraId="009F745A" w14:textId="77777777" w:rsidR="00786459" w:rsidRDefault="00000000">
            <w:pPr>
              <w:rPr>
                <w:rFonts w:hint="eastAsia"/>
              </w:rPr>
            </w:pPr>
            <w:r>
              <w:rPr>
                <w:sz w:val="18"/>
              </w:rPr>
              <w:t>TLCTC cluster prefix</w:t>
            </w:r>
          </w:p>
        </w:tc>
      </w:tr>
    </w:tbl>
    <w:p w14:paraId="16FA7FC4" w14:textId="77777777" w:rsidR="00786459" w:rsidRDefault="00786459">
      <w:pPr>
        <w:pStyle w:val="Small"/>
        <w:rPr>
          <w:rFonts w:hint="eastAsia"/>
        </w:rPr>
      </w:pPr>
    </w:p>
    <w:p w14:paraId="2304423B" w14:textId="77777777" w:rsidR="00786459" w:rsidRDefault="00000000">
      <w:pPr>
        <w:pStyle w:val="berschrift1"/>
      </w:pPr>
      <w:r>
        <w:t>Appendix B. Context vocabulary</w:t>
      </w:r>
    </w:p>
    <w:p w14:paraId="756D8C19" w14:textId="77777777" w:rsidR="00786459" w:rsidRDefault="00000000">
      <w:pPr>
        <w:rPr>
          <w:rFonts w:hint="eastAsia"/>
        </w:rPr>
      </w:pPr>
      <w:r>
        <w:t>The context vocabulary is extensible. The list below defines a practical baseline profile.</w:t>
      </w:r>
    </w:p>
    <w:tbl>
      <w:tblPr>
        <w:tblStyle w:val="Tabellenraster"/>
        <w:tblW w:w="0" w:type="auto"/>
        <w:jc w:val="center"/>
        <w:tblLayout w:type="fixed"/>
        <w:tblLook w:val="04A0" w:firstRow="1" w:lastRow="0" w:firstColumn="1" w:lastColumn="0" w:noHBand="0" w:noVBand="1"/>
      </w:tblPr>
      <w:tblGrid>
        <w:gridCol w:w="1584"/>
        <w:gridCol w:w="4608"/>
        <w:gridCol w:w="2736"/>
      </w:tblGrid>
      <w:tr w:rsidR="00786459" w14:paraId="51B52746" w14:textId="77777777">
        <w:trPr>
          <w:jc w:val="center"/>
        </w:trPr>
        <w:tc>
          <w:tcPr>
            <w:tcW w:w="1584" w:type="dxa"/>
            <w:shd w:val="clear" w:color="auto" w:fill="EAF0F6"/>
            <w:tcMar>
              <w:top w:w="80" w:type="dxa"/>
              <w:left w:w="90" w:type="dxa"/>
              <w:bottom w:w="80" w:type="dxa"/>
              <w:right w:w="90" w:type="dxa"/>
            </w:tcMar>
            <w:vAlign w:val="center"/>
          </w:tcPr>
          <w:p w14:paraId="06A4A3E8" w14:textId="77777777" w:rsidR="00786459" w:rsidRDefault="00000000">
            <w:pPr>
              <w:rPr>
                <w:rFonts w:hint="eastAsia"/>
              </w:rPr>
            </w:pPr>
            <w:r>
              <w:rPr>
                <w:b/>
                <w:color w:val="1F4E79"/>
                <w:sz w:val="18"/>
              </w:rPr>
              <w:t>Context</w:t>
            </w:r>
          </w:p>
        </w:tc>
        <w:tc>
          <w:tcPr>
            <w:tcW w:w="4608" w:type="dxa"/>
            <w:shd w:val="clear" w:color="auto" w:fill="EAF0F6"/>
            <w:tcMar>
              <w:top w:w="80" w:type="dxa"/>
              <w:left w:w="90" w:type="dxa"/>
              <w:bottom w:w="80" w:type="dxa"/>
              <w:right w:w="90" w:type="dxa"/>
            </w:tcMar>
            <w:vAlign w:val="center"/>
          </w:tcPr>
          <w:p w14:paraId="7530A277" w14:textId="77777777" w:rsidR="00786459" w:rsidRDefault="00000000">
            <w:pPr>
              <w:rPr>
                <w:rFonts w:hint="eastAsia"/>
              </w:rPr>
            </w:pPr>
            <w:r>
              <w:rPr>
                <w:b/>
                <w:color w:val="1F4E79"/>
                <w:sz w:val="18"/>
              </w:rPr>
              <w:t>Typical meaning</w:t>
            </w:r>
          </w:p>
        </w:tc>
        <w:tc>
          <w:tcPr>
            <w:tcW w:w="2736" w:type="dxa"/>
            <w:shd w:val="clear" w:color="auto" w:fill="EAF0F6"/>
            <w:tcMar>
              <w:top w:w="80" w:type="dxa"/>
              <w:left w:w="90" w:type="dxa"/>
              <w:bottom w:w="80" w:type="dxa"/>
              <w:right w:w="90" w:type="dxa"/>
            </w:tcMar>
            <w:vAlign w:val="center"/>
          </w:tcPr>
          <w:p w14:paraId="65D5AF5B" w14:textId="77777777" w:rsidR="00786459" w:rsidRDefault="00000000">
            <w:pPr>
              <w:rPr>
                <w:rFonts w:hint="eastAsia"/>
              </w:rPr>
            </w:pPr>
            <w:r>
              <w:rPr>
                <w:b/>
                <w:color w:val="1F4E79"/>
                <w:sz w:val="18"/>
              </w:rPr>
              <w:t>Typical transit party</w:t>
            </w:r>
          </w:p>
        </w:tc>
      </w:tr>
      <w:tr w:rsidR="00786459" w14:paraId="42524E99" w14:textId="77777777">
        <w:trPr>
          <w:jc w:val="center"/>
        </w:trPr>
        <w:tc>
          <w:tcPr>
            <w:tcW w:w="1584" w:type="dxa"/>
            <w:vAlign w:val="center"/>
          </w:tcPr>
          <w:p w14:paraId="2DB093E1" w14:textId="77777777" w:rsidR="00786459" w:rsidRDefault="00000000">
            <w:pPr>
              <w:rPr>
                <w:rFonts w:hint="eastAsia"/>
              </w:rPr>
            </w:pPr>
            <w:r>
              <w:rPr>
                <w:sz w:val="18"/>
              </w:rPr>
              <w:t>messaging</w:t>
            </w:r>
          </w:p>
        </w:tc>
        <w:tc>
          <w:tcPr>
            <w:tcW w:w="4608" w:type="dxa"/>
            <w:vAlign w:val="center"/>
          </w:tcPr>
          <w:p w14:paraId="6A25E458" w14:textId="77777777" w:rsidR="00786459" w:rsidRDefault="00000000">
            <w:pPr>
              <w:rPr>
                <w:rFonts w:hint="eastAsia"/>
              </w:rPr>
            </w:pPr>
            <w:r>
              <w:rPr>
                <w:sz w:val="18"/>
              </w:rPr>
              <w:t>Message relay or delivery platform</w:t>
            </w:r>
          </w:p>
        </w:tc>
        <w:tc>
          <w:tcPr>
            <w:tcW w:w="2736" w:type="dxa"/>
            <w:vAlign w:val="center"/>
          </w:tcPr>
          <w:p w14:paraId="4AB5FA5B" w14:textId="77777777" w:rsidR="00786459" w:rsidRDefault="00000000">
            <w:pPr>
              <w:rPr>
                <w:rFonts w:hint="eastAsia"/>
              </w:rPr>
            </w:pPr>
            <w:r>
              <w:rPr>
                <w:sz w:val="18"/>
              </w:rPr>
              <w:t>Platform operator</w:t>
            </w:r>
          </w:p>
        </w:tc>
      </w:tr>
      <w:tr w:rsidR="00786459" w14:paraId="2881E4FF" w14:textId="77777777">
        <w:trPr>
          <w:jc w:val="center"/>
        </w:trPr>
        <w:tc>
          <w:tcPr>
            <w:tcW w:w="1584" w:type="dxa"/>
            <w:vAlign w:val="center"/>
          </w:tcPr>
          <w:p w14:paraId="6A9E1FBE" w14:textId="77777777" w:rsidR="00786459" w:rsidRDefault="00000000">
            <w:pPr>
              <w:rPr>
                <w:rFonts w:hint="eastAsia"/>
              </w:rPr>
            </w:pPr>
            <w:r>
              <w:rPr>
                <w:sz w:val="18"/>
              </w:rPr>
              <w:t>email</w:t>
            </w:r>
          </w:p>
        </w:tc>
        <w:tc>
          <w:tcPr>
            <w:tcW w:w="4608" w:type="dxa"/>
            <w:vAlign w:val="center"/>
          </w:tcPr>
          <w:p w14:paraId="4F34A5E6" w14:textId="77777777" w:rsidR="00786459" w:rsidRDefault="00000000">
            <w:pPr>
              <w:rPr>
                <w:rFonts w:hint="eastAsia"/>
              </w:rPr>
            </w:pPr>
            <w:r>
              <w:rPr>
                <w:sz w:val="18"/>
              </w:rPr>
              <w:t>Email transport and delivery</w:t>
            </w:r>
          </w:p>
        </w:tc>
        <w:tc>
          <w:tcPr>
            <w:tcW w:w="2736" w:type="dxa"/>
            <w:vAlign w:val="center"/>
          </w:tcPr>
          <w:p w14:paraId="31CD3548" w14:textId="77777777" w:rsidR="00786459" w:rsidRDefault="00000000">
            <w:pPr>
              <w:rPr>
                <w:rFonts w:hint="eastAsia"/>
              </w:rPr>
            </w:pPr>
            <w:r>
              <w:rPr>
                <w:sz w:val="18"/>
              </w:rPr>
              <w:t>Email provider</w:t>
            </w:r>
          </w:p>
        </w:tc>
      </w:tr>
      <w:tr w:rsidR="00786459" w14:paraId="7CE2DBE1" w14:textId="77777777">
        <w:trPr>
          <w:jc w:val="center"/>
        </w:trPr>
        <w:tc>
          <w:tcPr>
            <w:tcW w:w="1584" w:type="dxa"/>
            <w:vAlign w:val="center"/>
          </w:tcPr>
          <w:p w14:paraId="1A3ADC50" w14:textId="77777777" w:rsidR="00786459" w:rsidRDefault="00000000">
            <w:pPr>
              <w:rPr>
                <w:rFonts w:hint="eastAsia"/>
              </w:rPr>
            </w:pPr>
            <w:r>
              <w:rPr>
                <w:sz w:val="18"/>
              </w:rPr>
              <w:t>cdn</w:t>
            </w:r>
          </w:p>
        </w:tc>
        <w:tc>
          <w:tcPr>
            <w:tcW w:w="4608" w:type="dxa"/>
            <w:vAlign w:val="center"/>
          </w:tcPr>
          <w:p w14:paraId="5F229C16" w14:textId="77777777" w:rsidR="00786459" w:rsidRDefault="00000000">
            <w:pPr>
              <w:rPr>
                <w:rFonts w:hint="eastAsia"/>
              </w:rPr>
            </w:pPr>
            <w:r>
              <w:rPr>
                <w:sz w:val="18"/>
              </w:rPr>
              <w:t>Content delivery infrastructure</w:t>
            </w:r>
          </w:p>
        </w:tc>
        <w:tc>
          <w:tcPr>
            <w:tcW w:w="2736" w:type="dxa"/>
            <w:vAlign w:val="center"/>
          </w:tcPr>
          <w:p w14:paraId="4DCAEC95" w14:textId="77777777" w:rsidR="00786459" w:rsidRDefault="00000000">
            <w:pPr>
              <w:rPr>
                <w:rFonts w:hint="eastAsia"/>
              </w:rPr>
            </w:pPr>
            <w:r>
              <w:rPr>
                <w:sz w:val="18"/>
              </w:rPr>
              <w:t>CDN provider</w:t>
            </w:r>
          </w:p>
        </w:tc>
      </w:tr>
      <w:tr w:rsidR="00786459" w14:paraId="5B26C493" w14:textId="77777777">
        <w:trPr>
          <w:jc w:val="center"/>
        </w:trPr>
        <w:tc>
          <w:tcPr>
            <w:tcW w:w="1584" w:type="dxa"/>
            <w:vAlign w:val="center"/>
          </w:tcPr>
          <w:p w14:paraId="261A3915" w14:textId="77777777" w:rsidR="00786459" w:rsidRDefault="00000000">
            <w:pPr>
              <w:rPr>
                <w:rFonts w:hint="eastAsia"/>
              </w:rPr>
            </w:pPr>
            <w:r>
              <w:rPr>
                <w:sz w:val="18"/>
              </w:rPr>
              <w:t>cloud</w:t>
            </w:r>
          </w:p>
        </w:tc>
        <w:tc>
          <w:tcPr>
            <w:tcW w:w="4608" w:type="dxa"/>
            <w:vAlign w:val="center"/>
          </w:tcPr>
          <w:p w14:paraId="570C954C" w14:textId="77777777" w:rsidR="00786459" w:rsidRDefault="00000000">
            <w:pPr>
              <w:rPr>
                <w:rFonts w:hint="eastAsia"/>
              </w:rPr>
            </w:pPr>
            <w:r>
              <w:rPr>
                <w:sz w:val="18"/>
              </w:rPr>
              <w:t>Cloud control or service infrastructure</w:t>
            </w:r>
          </w:p>
        </w:tc>
        <w:tc>
          <w:tcPr>
            <w:tcW w:w="2736" w:type="dxa"/>
            <w:vAlign w:val="center"/>
          </w:tcPr>
          <w:p w14:paraId="18C86711" w14:textId="77777777" w:rsidR="00786459" w:rsidRDefault="00000000">
            <w:pPr>
              <w:rPr>
                <w:rFonts w:hint="eastAsia"/>
              </w:rPr>
            </w:pPr>
            <w:r>
              <w:rPr>
                <w:sz w:val="18"/>
              </w:rPr>
              <w:t>Cloud provider</w:t>
            </w:r>
          </w:p>
        </w:tc>
      </w:tr>
      <w:tr w:rsidR="00786459" w14:paraId="5F54C794" w14:textId="77777777">
        <w:trPr>
          <w:jc w:val="center"/>
        </w:trPr>
        <w:tc>
          <w:tcPr>
            <w:tcW w:w="1584" w:type="dxa"/>
            <w:vAlign w:val="center"/>
          </w:tcPr>
          <w:p w14:paraId="79502D97" w14:textId="77777777" w:rsidR="00786459" w:rsidRDefault="00000000">
            <w:pPr>
              <w:rPr>
                <w:rFonts w:hint="eastAsia"/>
              </w:rPr>
            </w:pPr>
            <w:r>
              <w:rPr>
                <w:sz w:val="18"/>
              </w:rPr>
              <w:t>network</w:t>
            </w:r>
          </w:p>
        </w:tc>
        <w:tc>
          <w:tcPr>
            <w:tcW w:w="4608" w:type="dxa"/>
            <w:vAlign w:val="center"/>
          </w:tcPr>
          <w:p w14:paraId="13F1F32B" w14:textId="77777777" w:rsidR="00786459" w:rsidRDefault="00000000">
            <w:pPr>
              <w:rPr>
                <w:rFonts w:hint="eastAsia"/>
              </w:rPr>
            </w:pPr>
            <w:r>
              <w:rPr>
                <w:sz w:val="18"/>
              </w:rPr>
              <w:t>Network-level relay or path control</w:t>
            </w:r>
          </w:p>
        </w:tc>
        <w:tc>
          <w:tcPr>
            <w:tcW w:w="2736" w:type="dxa"/>
            <w:vAlign w:val="center"/>
          </w:tcPr>
          <w:p w14:paraId="440A6F18" w14:textId="77777777" w:rsidR="00786459" w:rsidRDefault="00000000">
            <w:pPr>
              <w:rPr>
                <w:rFonts w:hint="eastAsia"/>
              </w:rPr>
            </w:pPr>
            <w:r>
              <w:rPr>
                <w:sz w:val="18"/>
              </w:rPr>
              <w:t>ISP, carrier, VPN provider</w:t>
            </w:r>
          </w:p>
        </w:tc>
      </w:tr>
      <w:tr w:rsidR="00786459" w14:paraId="245CD869" w14:textId="77777777">
        <w:trPr>
          <w:jc w:val="center"/>
        </w:trPr>
        <w:tc>
          <w:tcPr>
            <w:tcW w:w="1584" w:type="dxa"/>
            <w:vAlign w:val="center"/>
          </w:tcPr>
          <w:p w14:paraId="52796D21" w14:textId="77777777" w:rsidR="00786459" w:rsidRDefault="00000000">
            <w:pPr>
              <w:rPr>
                <w:rFonts w:hint="eastAsia"/>
              </w:rPr>
            </w:pPr>
            <w:r>
              <w:rPr>
                <w:sz w:val="18"/>
              </w:rPr>
              <w:t>signaling</w:t>
            </w:r>
          </w:p>
        </w:tc>
        <w:tc>
          <w:tcPr>
            <w:tcW w:w="4608" w:type="dxa"/>
            <w:vAlign w:val="center"/>
          </w:tcPr>
          <w:p w14:paraId="175C6834" w14:textId="77777777" w:rsidR="00786459" w:rsidRDefault="00000000">
            <w:pPr>
              <w:rPr>
                <w:rFonts w:hint="eastAsia"/>
              </w:rPr>
            </w:pPr>
            <w:r>
              <w:rPr>
                <w:sz w:val="18"/>
              </w:rPr>
              <w:t>Telephony signaling path</w:t>
            </w:r>
          </w:p>
        </w:tc>
        <w:tc>
          <w:tcPr>
            <w:tcW w:w="2736" w:type="dxa"/>
            <w:vAlign w:val="center"/>
          </w:tcPr>
          <w:p w14:paraId="4F1644DE" w14:textId="77777777" w:rsidR="00786459" w:rsidRDefault="00000000">
            <w:pPr>
              <w:rPr>
                <w:rFonts w:hint="eastAsia"/>
              </w:rPr>
            </w:pPr>
            <w:r>
              <w:rPr>
                <w:sz w:val="18"/>
              </w:rPr>
              <w:t>Carrier(s)</w:t>
            </w:r>
          </w:p>
        </w:tc>
      </w:tr>
      <w:tr w:rsidR="00786459" w14:paraId="7A8EE7F9" w14:textId="77777777">
        <w:trPr>
          <w:jc w:val="center"/>
        </w:trPr>
        <w:tc>
          <w:tcPr>
            <w:tcW w:w="1584" w:type="dxa"/>
            <w:vAlign w:val="center"/>
          </w:tcPr>
          <w:p w14:paraId="18E6ECDE" w14:textId="77777777" w:rsidR="00786459" w:rsidRDefault="00000000">
            <w:pPr>
              <w:rPr>
                <w:rFonts w:hint="eastAsia"/>
              </w:rPr>
            </w:pPr>
            <w:r>
              <w:rPr>
                <w:sz w:val="18"/>
              </w:rPr>
              <w:t>auth</w:t>
            </w:r>
          </w:p>
        </w:tc>
        <w:tc>
          <w:tcPr>
            <w:tcW w:w="4608" w:type="dxa"/>
            <w:vAlign w:val="center"/>
          </w:tcPr>
          <w:p w14:paraId="6E19C761" w14:textId="77777777" w:rsidR="00786459" w:rsidRDefault="00000000">
            <w:pPr>
              <w:rPr>
                <w:rFonts w:hint="eastAsia"/>
              </w:rPr>
            </w:pPr>
            <w:r>
              <w:rPr>
                <w:sz w:val="18"/>
              </w:rPr>
              <w:t>Identity federation or authentication relay</w:t>
            </w:r>
          </w:p>
        </w:tc>
        <w:tc>
          <w:tcPr>
            <w:tcW w:w="2736" w:type="dxa"/>
            <w:vAlign w:val="center"/>
          </w:tcPr>
          <w:p w14:paraId="6E02C00F" w14:textId="77777777" w:rsidR="00786459" w:rsidRDefault="00000000">
            <w:pPr>
              <w:rPr>
                <w:rFonts w:hint="eastAsia"/>
              </w:rPr>
            </w:pPr>
            <w:r>
              <w:rPr>
                <w:sz w:val="18"/>
              </w:rPr>
              <w:t>Identity provider</w:t>
            </w:r>
          </w:p>
        </w:tc>
      </w:tr>
      <w:tr w:rsidR="00786459" w14:paraId="6B581887" w14:textId="77777777">
        <w:trPr>
          <w:jc w:val="center"/>
        </w:trPr>
        <w:tc>
          <w:tcPr>
            <w:tcW w:w="1584" w:type="dxa"/>
            <w:vAlign w:val="center"/>
          </w:tcPr>
          <w:p w14:paraId="57662448" w14:textId="77777777" w:rsidR="00786459" w:rsidRDefault="00000000">
            <w:pPr>
              <w:rPr>
                <w:rFonts w:hint="eastAsia"/>
              </w:rPr>
            </w:pPr>
            <w:r>
              <w:rPr>
                <w:sz w:val="18"/>
              </w:rPr>
              <w:t>media</w:t>
            </w:r>
          </w:p>
        </w:tc>
        <w:tc>
          <w:tcPr>
            <w:tcW w:w="4608" w:type="dxa"/>
            <w:vAlign w:val="center"/>
          </w:tcPr>
          <w:p w14:paraId="048ABC7F" w14:textId="77777777" w:rsidR="00786459" w:rsidRDefault="00000000">
            <w:pPr>
              <w:rPr>
                <w:rFonts w:hint="eastAsia"/>
              </w:rPr>
            </w:pPr>
            <w:r>
              <w:rPr>
                <w:sz w:val="18"/>
              </w:rPr>
              <w:t>Media streaming or content relay</w:t>
            </w:r>
          </w:p>
        </w:tc>
        <w:tc>
          <w:tcPr>
            <w:tcW w:w="2736" w:type="dxa"/>
            <w:vAlign w:val="center"/>
          </w:tcPr>
          <w:p w14:paraId="596DFB8C" w14:textId="77777777" w:rsidR="00786459" w:rsidRDefault="00000000">
            <w:pPr>
              <w:rPr>
                <w:rFonts w:hint="eastAsia"/>
              </w:rPr>
            </w:pPr>
            <w:r>
              <w:rPr>
                <w:sz w:val="18"/>
              </w:rPr>
              <w:t>Media platform</w:t>
            </w:r>
          </w:p>
        </w:tc>
      </w:tr>
      <w:tr w:rsidR="00786459" w14:paraId="7736396A" w14:textId="77777777">
        <w:trPr>
          <w:jc w:val="center"/>
        </w:trPr>
        <w:tc>
          <w:tcPr>
            <w:tcW w:w="1584" w:type="dxa"/>
            <w:vAlign w:val="center"/>
          </w:tcPr>
          <w:p w14:paraId="2DB1D7BF" w14:textId="77777777" w:rsidR="00786459" w:rsidRDefault="00000000">
            <w:pPr>
              <w:rPr>
                <w:rFonts w:hint="eastAsia"/>
              </w:rPr>
            </w:pPr>
            <w:r>
              <w:rPr>
                <w:sz w:val="18"/>
              </w:rPr>
              <w:t>browser</w:t>
            </w:r>
          </w:p>
        </w:tc>
        <w:tc>
          <w:tcPr>
            <w:tcW w:w="4608" w:type="dxa"/>
            <w:vAlign w:val="center"/>
          </w:tcPr>
          <w:p w14:paraId="1AAE9906" w14:textId="77777777" w:rsidR="00786459" w:rsidRDefault="00000000">
            <w:pPr>
              <w:rPr>
                <w:rFonts w:hint="eastAsia"/>
              </w:rPr>
            </w:pPr>
            <w:r>
              <w:rPr>
                <w:sz w:val="18"/>
              </w:rPr>
              <w:t>Client browser content delivery</w:t>
            </w:r>
          </w:p>
        </w:tc>
        <w:tc>
          <w:tcPr>
            <w:tcW w:w="2736" w:type="dxa"/>
            <w:vAlign w:val="center"/>
          </w:tcPr>
          <w:p w14:paraId="37313E77" w14:textId="77777777" w:rsidR="00786459" w:rsidRDefault="00000000">
            <w:pPr>
              <w:rPr>
                <w:rFonts w:hint="eastAsia"/>
              </w:rPr>
            </w:pPr>
            <w:r>
              <w:rPr>
                <w:sz w:val="18"/>
              </w:rPr>
              <w:t>Usually binary; transit only if separate relay exists</w:t>
            </w:r>
          </w:p>
        </w:tc>
      </w:tr>
      <w:tr w:rsidR="00786459" w14:paraId="1EA38BAB" w14:textId="77777777">
        <w:trPr>
          <w:jc w:val="center"/>
        </w:trPr>
        <w:tc>
          <w:tcPr>
            <w:tcW w:w="1584" w:type="dxa"/>
            <w:vAlign w:val="center"/>
          </w:tcPr>
          <w:p w14:paraId="76457DB5" w14:textId="77777777" w:rsidR="00786459" w:rsidRDefault="00000000">
            <w:pPr>
              <w:rPr>
                <w:rFonts w:hint="eastAsia"/>
              </w:rPr>
            </w:pPr>
            <w:r>
              <w:rPr>
                <w:sz w:val="18"/>
              </w:rPr>
              <w:t>exploit</w:t>
            </w:r>
          </w:p>
        </w:tc>
        <w:tc>
          <w:tcPr>
            <w:tcW w:w="4608" w:type="dxa"/>
            <w:vAlign w:val="center"/>
          </w:tcPr>
          <w:p w14:paraId="62F47FAA" w14:textId="77777777" w:rsidR="00786459" w:rsidRDefault="00000000">
            <w:pPr>
              <w:rPr>
                <w:rFonts w:hint="eastAsia"/>
              </w:rPr>
            </w:pPr>
            <w:r>
              <w:rPr>
                <w:sz w:val="18"/>
              </w:rPr>
              <w:t>Direct exploit delivery path</w:t>
            </w:r>
          </w:p>
        </w:tc>
        <w:tc>
          <w:tcPr>
            <w:tcW w:w="2736" w:type="dxa"/>
            <w:vAlign w:val="center"/>
          </w:tcPr>
          <w:p w14:paraId="58D280C9" w14:textId="77777777" w:rsidR="00786459" w:rsidRDefault="00000000">
            <w:pPr>
              <w:rPr>
                <w:rFonts w:hint="eastAsia"/>
              </w:rPr>
            </w:pPr>
            <w:r>
              <w:rPr>
                <w:sz w:val="18"/>
              </w:rPr>
              <w:t>Usually binary; transit only when relay infrastructure matters</w:t>
            </w:r>
          </w:p>
        </w:tc>
      </w:tr>
      <w:tr w:rsidR="00786459" w14:paraId="129DBEEE" w14:textId="77777777">
        <w:trPr>
          <w:jc w:val="center"/>
        </w:trPr>
        <w:tc>
          <w:tcPr>
            <w:tcW w:w="1584" w:type="dxa"/>
            <w:vAlign w:val="center"/>
          </w:tcPr>
          <w:p w14:paraId="0331E123" w14:textId="77777777" w:rsidR="00786459" w:rsidRDefault="00000000">
            <w:pPr>
              <w:rPr>
                <w:rFonts w:hint="eastAsia"/>
              </w:rPr>
            </w:pPr>
            <w:r>
              <w:rPr>
                <w:sz w:val="18"/>
              </w:rPr>
              <w:t>dev</w:t>
            </w:r>
          </w:p>
        </w:tc>
        <w:tc>
          <w:tcPr>
            <w:tcW w:w="4608" w:type="dxa"/>
            <w:vAlign w:val="center"/>
          </w:tcPr>
          <w:p w14:paraId="2B96B02B" w14:textId="77777777" w:rsidR="00786459" w:rsidRDefault="00000000">
            <w:pPr>
              <w:rPr>
                <w:rFonts w:hint="eastAsia"/>
              </w:rPr>
            </w:pPr>
            <w:r>
              <w:rPr>
                <w:sz w:val="18"/>
              </w:rPr>
              <w:t>Development or build path</w:t>
            </w:r>
          </w:p>
        </w:tc>
        <w:tc>
          <w:tcPr>
            <w:tcW w:w="2736" w:type="dxa"/>
            <w:vAlign w:val="center"/>
          </w:tcPr>
          <w:p w14:paraId="4EF11ACB" w14:textId="77777777" w:rsidR="00786459" w:rsidRDefault="00000000">
            <w:pPr>
              <w:rPr>
                <w:rFonts w:hint="eastAsia"/>
              </w:rPr>
            </w:pPr>
            <w:r>
              <w:rPr>
                <w:sz w:val="18"/>
              </w:rPr>
              <w:t>Vendor or build service</w:t>
            </w:r>
          </w:p>
        </w:tc>
      </w:tr>
      <w:tr w:rsidR="00786459" w14:paraId="1F46FC53" w14:textId="77777777">
        <w:trPr>
          <w:jc w:val="center"/>
        </w:trPr>
        <w:tc>
          <w:tcPr>
            <w:tcW w:w="1584" w:type="dxa"/>
            <w:vAlign w:val="center"/>
          </w:tcPr>
          <w:p w14:paraId="48B27A7D" w14:textId="77777777" w:rsidR="00786459" w:rsidRDefault="00000000">
            <w:pPr>
              <w:rPr>
                <w:rFonts w:hint="eastAsia"/>
              </w:rPr>
            </w:pPr>
            <w:r>
              <w:rPr>
                <w:sz w:val="18"/>
              </w:rPr>
              <w:t>update</w:t>
            </w:r>
          </w:p>
        </w:tc>
        <w:tc>
          <w:tcPr>
            <w:tcW w:w="4608" w:type="dxa"/>
            <w:vAlign w:val="center"/>
          </w:tcPr>
          <w:p w14:paraId="0211F8F0" w14:textId="77777777" w:rsidR="00786459" w:rsidRDefault="00000000">
            <w:pPr>
              <w:rPr>
                <w:rFonts w:hint="eastAsia"/>
              </w:rPr>
            </w:pPr>
            <w:r>
              <w:rPr>
                <w:sz w:val="18"/>
              </w:rPr>
              <w:t>Software update delivery path</w:t>
            </w:r>
          </w:p>
        </w:tc>
        <w:tc>
          <w:tcPr>
            <w:tcW w:w="2736" w:type="dxa"/>
            <w:vAlign w:val="center"/>
          </w:tcPr>
          <w:p w14:paraId="0687B568" w14:textId="77777777" w:rsidR="00786459" w:rsidRDefault="00000000">
            <w:pPr>
              <w:rPr>
                <w:rFonts w:hint="eastAsia"/>
              </w:rPr>
            </w:pPr>
            <w:r>
              <w:rPr>
                <w:sz w:val="18"/>
              </w:rPr>
              <w:t>Update service provider</w:t>
            </w:r>
          </w:p>
        </w:tc>
      </w:tr>
      <w:tr w:rsidR="00786459" w14:paraId="38BB3EE9" w14:textId="77777777">
        <w:trPr>
          <w:jc w:val="center"/>
        </w:trPr>
        <w:tc>
          <w:tcPr>
            <w:tcW w:w="1584" w:type="dxa"/>
            <w:vAlign w:val="center"/>
          </w:tcPr>
          <w:p w14:paraId="014AC6B3" w14:textId="77777777" w:rsidR="00786459" w:rsidRDefault="00000000">
            <w:pPr>
              <w:rPr>
                <w:rFonts w:hint="eastAsia"/>
              </w:rPr>
            </w:pPr>
            <w:r>
              <w:rPr>
                <w:sz w:val="18"/>
              </w:rPr>
              <w:t>physical</w:t>
            </w:r>
          </w:p>
        </w:tc>
        <w:tc>
          <w:tcPr>
            <w:tcW w:w="4608" w:type="dxa"/>
            <w:vAlign w:val="center"/>
          </w:tcPr>
          <w:p w14:paraId="2CB5815B" w14:textId="77777777" w:rsidR="00786459" w:rsidRDefault="00000000">
            <w:pPr>
              <w:rPr>
                <w:rFonts w:hint="eastAsia"/>
              </w:rPr>
            </w:pPr>
            <w:r>
              <w:rPr>
                <w:sz w:val="18"/>
              </w:rPr>
              <w:t>Physical access channel</w:t>
            </w:r>
          </w:p>
        </w:tc>
        <w:tc>
          <w:tcPr>
            <w:tcW w:w="2736" w:type="dxa"/>
            <w:vAlign w:val="center"/>
          </w:tcPr>
          <w:p w14:paraId="4A30445B" w14:textId="77777777" w:rsidR="00786459" w:rsidRDefault="00000000">
            <w:pPr>
              <w:rPr>
                <w:rFonts w:hint="eastAsia"/>
              </w:rPr>
            </w:pPr>
            <w:r>
              <w:rPr>
                <w:sz w:val="18"/>
              </w:rPr>
              <w:t>Facility or hardware operator</w:t>
            </w:r>
          </w:p>
        </w:tc>
      </w:tr>
      <w:tr w:rsidR="00786459" w14:paraId="39112D7A" w14:textId="77777777">
        <w:trPr>
          <w:jc w:val="center"/>
        </w:trPr>
        <w:tc>
          <w:tcPr>
            <w:tcW w:w="1584" w:type="dxa"/>
            <w:vAlign w:val="center"/>
          </w:tcPr>
          <w:p w14:paraId="0269410C" w14:textId="77777777" w:rsidR="00786459" w:rsidRDefault="00000000">
            <w:pPr>
              <w:rPr>
                <w:rFonts w:hint="eastAsia"/>
              </w:rPr>
            </w:pPr>
            <w:r>
              <w:rPr>
                <w:sz w:val="18"/>
              </w:rPr>
              <w:t>human</w:t>
            </w:r>
          </w:p>
        </w:tc>
        <w:tc>
          <w:tcPr>
            <w:tcW w:w="4608" w:type="dxa"/>
            <w:vAlign w:val="center"/>
          </w:tcPr>
          <w:p w14:paraId="1AF11904" w14:textId="77777777" w:rsidR="00786459" w:rsidRDefault="00000000">
            <w:pPr>
              <w:rPr>
                <w:rFonts w:hint="eastAsia"/>
              </w:rPr>
            </w:pPr>
            <w:r>
              <w:rPr>
                <w:sz w:val="18"/>
              </w:rPr>
              <w:t>Human communication channel</w:t>
            </w:r>
          </w:p>
        </w:tc>
        <w:tc>
          <w:tcPr>
            <w:tcW w:w="2736" w:type="dxa"/>
            <w:vAlign w:val="center"/>
          </w:tcPr>
          <w:p w14:paraId="2E597603" w14:textId="77777777" w:rsidR="00786459" w:rsidRDefault="00000000">
            <w:pPr>
              <w:rPr>
                <w:rFonts w:hint="eastAsia"/>
              </w:rPr>
            </w:pPr>
            <w:r>
              <w:rPr>
                <w:sz w:val="18"/>
              </w:rPr>
              <w:t>Organization or operator</w:t>
            </w:r>
          </w:p>
        </w:tc>
      </w:tr>
      <w:tr w:rsidR="00786459" w14:paraId="25BAB78D" w14:textId="77777777">
        <w:trPr>
          <w:jc w:val="center"/>
        </w:trPr>
        <w:tc>
          <w:tcPr>
            <w:tcW w:w="1584" w:type="dxa"/>
            <w:vAlign w:val="center"/>
          </w:tcPr>
          <w:p w14:paraId="630A79BC" w14:textId="77777777" w:rsidR="00786459" w:rsidRDefault="00000000">
            <w:pPr>
              <w:rPr>
                <w:rFonts w:hint="eastAsia"/>
              </w:rPr>
            </w:pPr>
            <w:r>
              <w:rPr>
                <w:sz w:val="18"/>
              </w:rPr>
              <w:t>legal</w:t>
            </w:r>
          </w:p>
        </w:tc>
        <w:tc>
          <w:tcPr>
            <w:tcW w:w="4608" w:type="dxa"/>
            <w:vAlign w:val="center"/>
          </w:tcPr>
          <w:p w14:paraId="23ED0807" w14:textId="77777777" w:rsidR="00786459" w:rsidRDefault="00000000">
            <w:pPr>
              <w:rPr>
                <w:rFonts w:hint="eastAsia"/>
              </w:rPr>
            </w:pPr>
            <w:r>
              <w:rPr>
                <w:sz w:val="18"/>
              </w:rPr>
              <w:t>Compulsion or legal order channel</w:t>
            </w:r>
          </w:p>
        </w:tc>
        <w:tc>
          <w:tcPr>
            <w:tcW w:w="2736" w:type="dxa"/>
            <w:vAlign w:val="center"/>
          </w:tcPr>
          <w:p w14:paraId="5759A924" w14:textId="77777777" w:rsidR="00786459" w:rsidRDefault="00000000">
            <w:pPr>
              <w:rPr>
                <w:rFonts w:hint="eastAsia"/>
              </w:rPr>
            </w:pPr>
            <w:r>
              <w:rPr>
                <w:sz w:val="18"/>
              </w:rPr>
              <w:t>State or regulator</w:t>
            </w:r>
          </w:p>
        </w:tc>
      </w:tr>
      <w:tr w:rsidR="00786459" w14:paraId="49241961" w14:textId="77777777">
        <w:trPr>
          <w:jc w:val="center"/>
        </w:trPr>
        <w:tc>
          <w:tcPr>
            <w:tcW w:w="1584" w:type="dxa"/>
            <w:vAlign w:val="center"/>
          </w:tcPr>
          <w:p w14:paraId="07205E2A" w14:textId="77777777" w:rsidR="00786459" w:rsidRDefault="00000000">
            <w:pPr>
              <w:rPr>
                <w:rFonts w:hint="eastAsia"/>
              </w:rPr>
            </w:pPr>
            <w:r>
              <w:rPr>
                <w:sz w:val="18"/>
              </w:rPr>
              <w:t>admin</w:t>
            </w:r>
          </w:p>
        </w:tc>
        <w:tc>
          <w:tcPr>
            <w:tcW w:w="4608" w:type="dxa"/>
            <w:vAlign w:val="center"/>
          </w:tcPr>
          <w:p w14:paraId="7FC91EBC" w14:textId="77777777" w:rsidR="00786459" w:rsidRDefault="00000000">
            <w:pPr>
              <w:rPr>
                <w:rFonts w:hint="eastAsia"/>
              </w:rPr>
            </w:pPr>
            <w:r>
              <w:rPr>
                <w:sz w:val="18"/>
              </w:rPr>
              <w:t>Administrative access channel</w:t>
            </w:r>
          </w:p>
        </w:tc>
        <w:tc>
          <w:tcPr>
            <w:tcW w:w="2736" w:type="dxa"/>
            <w:vAlign w:val="center"/>
          </w:tcPr>
          <w:p w14:paraId="61AD1C50" w14:textId="77777777" w:rsidR="00786459" w:rsidRDefault="00000000">
            <w:pPr>
              <w:rPr>
                <w:rFonts w:hint="eastAsia"/>
              </w:rPr>
            </w:pPr>
            <w:r>
              <w:rPr>
                <w:sz w:val="18"/>
              </w:rPr>
              <w:t>System operator</w:t>
            </w:r>
          </w:p>
        </w:tc>
      </w:tr>
    </w:tbl>
    <w:p w14:paraId="08EE82CC" w14:textId="77777777" w:rsidR="00786459" w:rsidRDefault="00786459">
      <w:pPr>
        <w:pStyle w:val="Small"/>
        <w:rPr>
          <w:rFonts w:hint="eastAsia"/>
        </w:rPr>
      </w:pPr>
    </w:p>
    <w:p w14:paraId="411C7672" w14:textId="77777777" w:rsidR="00786459" w:rsidRDefault="00000000">
      <w:pPr>
        <w:pStyle w:val="berschrift1"/>
      </w:pPr>
      <w:r>
        <w:t>Appendix C. Intra-system boundary catalog</w:t>
      </w:r>
    </w:p>
    <w:tbl>
      <w:tblPr>
        <w:tblStyle w:val="Tabellenraster"/>
        <w:tblW w:w="0" w:type="auto"/>
        <w:jc w:val="center"/>
        <w:tblLayout w:type="fixed"/>
        <w:tblLook w:val="04A0" w:firstRow="1" w:lastRow="0" w:firstColumn="1" w:lastColumn="0" w:noHBand="0" w:noVBand="1"/>
      </w:tblPr>
      <w:tblGrid>
        <w:gridCol w:w="1584"/>
        <w:gridCol w:w="4032"/>
        <w:gridCol w:w="3312"/>
      </w:tblGrid>
      <w:tr w:rsidR="00786459" w14:paraId="650A0F03" w14:textId="77777777">
        <w:trPr>
          <w:jc w:val="center"/>
        </w:trPr>
        <w:tc>
          <w:tcPr>
            <w:tcW w:w="1584" w:type="dxa"/>
            <w:shd w:val="clear" w:color="auto" w:fill="EAF0F6"/>
            <w:tcMar>
              <w:top w:w="80" w:type="dxa"/>
              <w:left w:w="90" w:type="dxa"/>
              <w:bottom w:w="80" w:type="dxa"/>
              <w:right w:w="90" w:type="dxa"/>
            </w:tcMar>
            <w:vAlign w:val="center"/>
          </w:tcPr>
          <w:p w14:paraId="7BF8BEF0" w14:textId="77777777" w:rsidR="00786459" w:rsidRDefault="00000000">
            <w:pPr>
              <w:rPr>
                <w:rFonts w:hint="eastAsia"/>
              </w:rPr>
            </w:pPr>
            <w:r>
              <w:rPr>
                <w:b/>
                <w:color w:val="1F4E79"/>
                <w:sz w:val="18"/>
              </w:rPr>
              <w:t>Type</w:t>
            </w:r>
          </w:p>
        </w:tc>
        <w:tc>
          <w:tcPr>
            <w:tcW w:w="4032" w:type="dxa"/>
            <w:shd w:val="clear" w:color="auto" w:fill="EAF0F6"/>
            <w:tcMar>
              <w:top w:w="80" w:type="dxa"/>
              <w:left w:w="90" w:type="dxa"/>
              <w:bottom w:w="80" w:type="dxa"/>
              <w:right w:w="90" w:type="dxa"/>
            </w:tcMar>
            <w:vAlign w:val="center"/>
          </w:tcPr>
          <w:p w14:paraId="10C200FD" w14:textId="77777777" w:rsidR="00786459" w:rsidRDefault="00000000">
            <w:pPr>
              <w:rPr>
                <w:rFonts w:hint="eastAsia"/>
              </w:rPr>
            </w:pPr>
            <w:r>
              <w:rPr>
                <w:b/>
                <w:color w:val="1F4E79"/>
                <w:sz w:val="18"/>
              </w:rPr>
              <w:t>Definition</w:t>
            </w:r>
          </w:p>
        </w:tc>
        <w:tc>
          <w:tcPr>
            <w:tcW w:w="3312" w:type="dxa"/>
            <w:shd w:val="clear" w:color="auto" w:fill="EAF0F6"/>
            <w:tcMar>
              <w:top w:w="80" w:type="dxa"/>
              <w:left w:w="90" w:type="dxa"/>
              <w:bottom w:w="80" w:type="dxa"/>
              <w:right w:w="90" w:type="dxa"/>
            </w:tcMar>
            <w:vAlign w:val="center"/>
          </w:tcPr>
          <w:p w14:paraId="7DACB0DD" w14:textId="77777777" w:rsidR="00786459" w:rsidRDefault="00000000">
            <w:pPr>
              <w:rPr>
                <w:rFonts w:hint="eastAsia"/>
              </w:rPr>
            </w:pPr>
            <w:r>
              <w:rPr>
                <w:b/>
                <w:color w:val="1F4E79"/>
                <w:sz w:val="18"/>
              </w:rPr>
              <w:t>Examples</w:t>
            </w:r>
          </w:p>
        </w:tc>
      </w:tr>
      <w:tr w:rsidR="00786459" w14:paraId="247CF1BD" w14:textId="77777777">
        <w:trPr>
          <w:jc w:val="center"/>
        </w:trPr>
        <w:tc>
          <w:tcPr>
            <w:tcW w:w="1584" w:type="dxa"/>
            <w:vAlign w:val="center"/>
          </w:tcPr>
          <w:p w14:paraId="4DEEC253" w14:textId="77777777" w:rsidR="00786459" w:rsidRDefault="00000000">
            <w:pPr>
              <w:rPr>
                <w:rFonts w:hint="eastAsia"/>
              </w:rPr>
            </w:pPr>
            <w:r>
              <w:rPr>
                <w:sz w:val="18"/>
              </w:rPr>
              <w:t>sandbox</w:t>
            </w:r>
          </w:p>
        </w:tc>
        <w:tc>
          <w:tcPr>
            <w:tcW w:w="4032" w:type="dxa"/>
            <w:vAlign w:val="center"/>
          </w:tcPr>
          <w:p w14:paraId="5BA1DAFE" w14:textId="77777777" w:rsidR="00786459" w:rsidRDefault="00000000">
            <w:pPr>
              <w:rPr>
                <w:rFonts w:hint="eastAsia"/>
              </w:rPr>
            </w:pPr>
            <w:r>
              <w:rPr>
                <w:sz w:val="18"/>
              </w:rPr>
              <w:t>Application or container isolation boundary</w:t>
            </w:r>
          </w:p>
        </w:tc>
        <w:tc>
          <w:tcPr>
            <w:tcW w:w="3312" w:type="dxa"/>
            <w:vAlign w:val="center"/>
          </w:tcPr>
          <w:p w14:paraId="6B5B313D" w14:textId="77777777" w:rsidR="00786459" w:rsidRDefault="00000000">
            <w:pPr>
              <w:rPr>
                <w:rFonts w:hint="eastAsia"/>
              </w:rPr>
            </w:pPr>
            <w:r>
              <w:rPr>
                <w:sz w:val="18"/>
              </w:rPr>
              <w:t xml:space="preserve">@iMessage, @BlastDoor, @Chrome, </w:t>
            </w:r>
            <w:r>
              <w:rPr>
                <w:sz w:val="18"/>
              </w:rPr>
              <w:lastRenderedPageBreak/>
              <w:t>@Docker</w:t>
            </w:r>
          </w:p>
        </w:tc>
      </w:tr>
      <w:tr w:rsidR="00786459" w14:paraId="62B5FB77" w14:textId="77777777">
        <w:trPr>
          <w:jc w:val="center"/>
        </w:trPr>
        <w:tc>
          <w:tcPr>
            <w:tcW w:w="1584" w:type="dxa"/>
            <w:vAlign w:val="center"/>
          </w:tcPr>
          <w:p w14:paraId="6852ADCF" w14:textId="77777777" w:rsidR="00786459" w:rsidRDefault="00000000">
            <w:pPr>
              <w:rPr>
                <w:rFonts w:hint="eastAsia"/>
              </w:rPr>
            </w:pPr>
            <w:r>
              <w:rPr>
                <w:sz w:val="18"/>
              </w:rPr>
              <w:lastRenderedPageBreak/>
              <w:t>privilege</w:t>
            </w:r>
          </w:p>
        </w:tc>
        <w:tc>
          <w:tcPr>
            <w:tcW w:w="4032" w:type="dxa"/>
            <w:vAlign w:val="center"/>
          </w:tcPr>
          <w:p w14:paraId="46E2C959" w14:textId="77777777" w:rsidR="00786459" w:rsidRDefault="00000000">
            <w:pPr>
              <w:rPr>
                <w:rFonts w:hint="eastAsia"/>
              </w:rPr>
            </w:pPr>
            <w:r>
              <w:rPr>
                <w:sz w:val="18"/>
              </w:rPr>
              <w:t>Privilege or authority boundary</w:t>
            </w:r>
          </w:p>
        </w:tc>
        <w:tc>
          <w:tcPr>
            <w:tcW w:w="3312" w:type="dxa"/>
            <w:vAlign w:val="center"/>
          </w:tcPr>
          <w:p w14:paraId="05532B6F" w14:textId="77777777" w:rsidR="00786459" w:rsidRDefault="00000000">
            <w:pPr>
              <w:rPr>
                <w:rFonts w:hint="eastAsia"/>
              </w:rPr>
            </w:pPr>
            <w:r>
              <w:rPr>
                <w:sz w:val="18"/>
              </w:rPr>
              <w:t>@user, @root, @admin, @SYSTEM, @Ring0</w:t>
            </w:r>
          </w:p>
        </w:tc>
      </w:tr>
      <w:tr w:rsidR="00786459" w14:paraId="727044A4" w14:textId="77777777">
        <w:trPr>
          <w:jc w:val="center"/>
        </w:trPr>
        <w:tc>
          <w:tcPr>
            <w:tcW w:w="1584" w:type="dxa"/>
            <w:vAlign w:val="center"/>
          </w:tcPr>
          <w:p w14:paraId="7A7D02A2" w14:textId="77777777" w:rsidR="00786459" w:rsidRDefault="00000000">
            <w:pPr>
              <w:rPr>
                <w:rFonts w:hint="eastAsia"/>
              </w:rPr>
            </w:pPr>
            <w:r>
              <w:rPr>
                <w:sz w:val="18"/>
              </w:rPr>
              <w:t>process</w:t>
            </w:r>
          </w:p>
        </w:tc>
        <w:tc>
          <w:tcPr>
            <w:tcW w:w="4032" w:type="dxa"/>
            <w:vAlign w:val="center"/>
          </w:tcPr>
          <w:p w14:paraId="28DAEB1A" w14:textId="77777777" w:rsidR="00786459" w:rsidRDefault="00000000">
            <w:pPr>
              <w:rPr>
                <w:rFonts w:hint="eastAsia"/>
              </w:rPr>
            </w:pPr>
            <w:r>
              <w:rPr>
                <w:sz w:val="18"/>
              </w:rPr>
              <w:t>Process isolation boundary</w:t>
            </w:r>
          </w:p>
        </w:tc>
        <w:tc>
          <w:tcPr>
            <w:tcW w:w="3312" w:type="dxa"/>
            <w:vAlign w:val="center"/>
          </w:tcPr>
          <w:p w14:paraId="717A0DCC" w14:textId="77777777" w:rsidR="00786459" w:rsidRDefault="00000000">
            <w:pPr>
              <w:rPr>
                <w:rFonts w:hint="eastAsia"/>
              </w:rPr>
            </w:pPr>
            <w:r>
              <w:rPr>
                <w:sz w:val="18"/>
              </w:rPr>
              <w:t>@WebKit.WebContent, @coretelephony, @renderer</w:t>
            </w:r>
          </w:p>
        </w:tc>
      </w:tr>
      <w:tr w:rsidR="00786459" w14:paraId="75432577" w14:textId="77777777">
        <w:trPr>
          <w:jc w:val="center"/>
        </w:trPr>
        <w:tc>
          <w:tcPr>
            <w:tcW w:w="1584" w:type="dxa"/>
            <w:vAlign w:val="center"/>
          </w:tcPr>
          <w:p w14:paraId="58063965" w14:textId="77777777" w:rsidR="00786459" w:rsidRDefault="00000000">
            <w:pPr>
              <w:rPr>
                <w:rFonts w:hint="eastAsia"/>
              </w:rPr>
            </w:pPr>
            <w:r>
              <w:rPr>
                <w:sz w:val="18"/>
              </w:rPr>
              <w:t>hypervisor</w:t>
            </w:r>
          </w:p>
        </w:tc>
        <w:tc>
          <w:tcPr>
            <w:tcW w:w="4032" w:type="dxa"/>
            <w:vAlign w:val="center"/>
          </w:tcPr>
          <w:p w14:paraId="01D4AE3D" w14:textId="77777777" w:rsidR="00786459" w:rsidRDefault="00000000">
            <w:pPr>
              <w:rPr>
                <w:rFonts w:hint="eastAsia"/>
              </w:rPr>
            </w:pPr>
            <w:r>
              <w:rPr>
                <w:sz w:val="18"/>
              </w:rPr>
              <w:t>Guest, host, or hypervisor isolation boundary</w:t>
            </w:r>
          </w:p>
        </w:tc>
        <w:tc>
          <w:tcPr>
            <w:tcW w:w="3312" w:type="dxa"/>
            <w:vAlign w:val="center"/>
          </w:tcPr>
          <w:p w14:paraId="572D05C4" w14:textId="77777777" w:rsidR="00786459" w:rsidRDefault="00000000">
            <w:pPr>
              <w:rPr>
                <w:rFonts w:hint="eastAsia"/>
              </w:rPr>
            </w:pPr>
            <w:r>
              <w:rPr>
                <w:sz w:val="18"/>
              </w:rPr>
              <w:t>@GuestVM, @Hypervisor, @Host</w:t>
            </w:r>
          </w:p>
        </w:tc>
      </w:tr>
    </w:tbl>
    <w:p w14:paraId="2C014157" w14:textId="77777777" w:rsidR="00786459" w:rsidRDefault="00786459">
      <w:pPr>
        <w:pStyle w:val="Small"/>
        <w:rPr>
          <w:rFonts w:hint="eastAsia"/>
        </w:rPr>
      </w:pPr>
    </w:p>
    <w:p w14:paraId="47346ADD" w14:textId="77777777" w:rsidR="00786459" w:rsidRDefault="00000000">
      <w:pPr>
        <w:rPr>
          <w:rFonts w:hint="eastAsia"/>
        </w:rPr>
      </w:pPr>
      <w:r>
        <w:t>Deferred from v2.1: memory-oriented notation. Hardware-enforced memory compartments and mitigation bypasses may warrant future treatment, but they are intentionally excluded here to avoid mixing isolation domains with mitigation states.</w:t>
      </w:r>
    </w:p>
    <w:p w14:paraId="40F48C55" w14:textId="77777777" w:rsidR="00786459" w:rsidRDefault="00000000">
      <w:pPr>
        <w:pStyle w:val="berschrift1"/>
      </w:pPr>
      <w:r>
        <w:t>Appendix D. Decision procedure</w:t>
      </w:r>
    </w:p>
    <w:p w14:paraId="00B86FE0" w14:textId="77777777" w:rsidR="00786459" w:rsidRDefault="00000000">
      <w:pPr>
        <w:rPr>
          <w:rFonts w:hint="eastAsia"/>
        </w:rPr>
      </w:pPr>
      <w:r>
        <w:t>Use transit when all of the following are true:</w:t>
      </w:r>
    </w:p>
    <w:p w14:paraId="3EA8936E" w14:textId="77777777" w:rsidR="00786459" w:rsidRDefault="00000000">
      <w:pPr>
        <w:ind w:left="403" w:hanging="317"/>
        <w:rPr>
          <w:rFonts w:hint="eastAsia"/>
        </w:rPr>
      </w:pPr>
      <w:r>
        <w:rPr>
          <w:b/>
          <w:color w:val="1F4E79"/>
        </w:rPr>
        <w:t xml:space="preserve">1. </w:t>
      </w:r>
      <w:r>
        <w:t>the step crosses an inter-organizational boundary;</w:t>
      </w:r>
    </w:p>
    <w:p w14:paraId="642CBF7F" w14:textId="77777777" w:rsidR="00786459" w:rsidRDefault="00000000">
      <w:pPr>
        <w:ind w:left="403" w:hanging="317"/>
        <w:rPr>
          <w:rFonts w:hint="eastAsia"/>
        </w:rPr>
      </w:pPr>
      <w:r>
        <w:rPr>
          <w:b/>
          <w:color w:val="1F4E79"/>
        </w:rPr>
        <w:t xml:space="preserve">2. </w:t>
      </w:r>
      <w:r>
        <w:t>three or more responsibility spheres are structurally involved;</w:t>
      </w:r>
    </w:p>
    <w:p w14:paraId="23BB5CF4" w14:textId="77777777" w:rsidR="00786459" w:rsidRDefault="00000000">
      <w:pPr>
        <w:ind w:left="403" w:hanging="317"/>
        <w:rPr>
          <w:rFonts w:hint="eastAsia"/>
        </w:rPr>
      </w:pPr>
      <w:r>
        <w:rPr>
          <w:b/>
          <w:color w:val="1F4E79"/>
        </w:rPr>
        <w:t xml:space="preserve">3. </w:t>
      </w:r>
      <w:r>
        <w:t>one party is topologically between source and target;</w:t>
      </w:r>
    </w:p>
    <w:p w14:paraId="65E9D31B" w14:textId="77777777" w:rsidR="00786459" w:rsidRDefault="00000000">
      <w:pPr>
        <w:ind w:left="403" w:hanging="317"/>
        <w:rPr>
          <w:rFonts w:hint="eastAsia"/>
        </w:rPr>
      </w:pPr>
      <w:r>
        <w:rPr>
          <w:b/>
          <w:color w:val="1F4E79"/>
        </w:rPr>
        <w:t xml:space="preserve">4. </w:t>
      </w:r>
      <w:r>
        <w:t>the intermediary has meaningful control relevance.</w:t>
      </w:r>
    </w:p>
    <w:p w14:paraId="5654A42D" w14:textId="77777777" w:rsidR="00786459" w:rsidRDefault="00000000">
      <w:pPr>
        <w:rPr>
          <w:rFonts w:hint="eastAsia"/>
        </w:rPr>
      </w:pPr>
      <w:r>
        <w:t>Do not use transit when the named party is merely the vendor of code running on the target.</w:t>
      </w:r>
    </w:p>
    <w:p w14:paraId="082B255F" w14:textId="77777777" w:rsidR="00786459" w:rsidRDefault="00000000">
      <w:pPr>
        <w:rPr>
          <w:rFonts w:hint="eastAsia"/>
        </w:rPr>
      </w:pPr>
      <w:r>
        <w:t>Use the intra-system operator when all of the following are true:</w:t>
      </w:r>
    </w:p>
    <w:p w14:paraId="7A456AE0" w14:textId="77777777" w:rsidR="00786459" w:rsidRDefault="00000000">
      <w:pPr>
        <w:ind w:left="403" w:hanging="317"/>
        <w:rPr>
          <w:rFonts w:hint="eastAsia"/>
        </w:rPr>
      </w:pPr>
      <w:r>
        <w:rPr>
          <w:b/>
          <w:color w:val="1F4E79"/>
        </w:rPr>
        <w:t xml:space="preserve">1. </w:t>
      </w:r>
      <w:r>
        <w:t>the step crosses a meaningful internal containment boundary within one system;</w:t>
      </w:r>
    </w:p>
    <w:p w14:paraId="54220A83" w14:textId="77777777" w:rsidR="00786459" w:rsidRDefault="00000000">
      <w:pPr>
        <w:ind w:left="403" w:hanging="317"/>
        <w:rPr>
          <w:rFonts w:hint="eastAsia"/>
        </w:rPr>
      </w:pPr>
      <w:r>
        <w:rPr>
          <w:b/>
          <w:color w:val="1F4E79"/>
        </w:rPr>
        <w:t xml:space="preserve">2. </w:t>
      </w:r>
      <w:r>
        <w:t>naming that boundary adds analytical value;</w:t>
      </w:r>
    </w:p>
    <w:p w14:paraId="38FA163D" w14:textId="77777777" w:rsidR="00786459" w:rsidRDefault="00000000">
      <w:pPr>
        <w:ind w:left="403" w:hanging="317"/>
        <w:rPr>
          <w:rFonts w:hint="eastAsia"/>
        </w:rPr>
      </w:pPr>
      <w:r>
        <w:rPr>
          <w:b/>
          <w:color w:val="1F4E79"/>
        </w:rPr>
        <w:t xml:space="preserve">3. </w:t>
      </w:r>
      <w:r>
        <w:t>the annotation remains attached to a cluster step.</w:t>
      </w:r>
    </w:p>
    <w:p w14:paraId="6D33E30C" w14:textId="77777777" w:rsidR="00786459" w:rsidRDefault="00000000">
      <w:pPr>
        <w:rPr>
          <w:rFonts w:hint="eastAsia"/>
        </w:rPr>
      </w:pPr>
      <w:r>
        <w:t>If a separately evidenced vulnerability is required for the next internal crossing, create a new cluster step.</w:t>
      </w:r>
    </w:p>
    <w:p w14:paraId="7A9A28BC" w14:textId="77777777" w:rsidR="00786459" w:rsidRDefault="00000000">
      <w:pPr>
        <w:pStyle w:val="berschrift1"/>
      </w:pPr>
      <w:r>
        <w:t>Appendix E. Anti-patterns and misuse cases</w:t>
      </w:r>
    </w:p>
    <w:p w14:paraId="0719AB5D" w14:textId="77777777" w:rsidR="00786459" w:rsidRDefault="00000000">
      <w:pPr>
        <w:pStyle w:val="Rule"/>
        <w:keepLines/>
        <w:rPr>
          <w:rFonts w:hint="eastAsia"/>
        </w:rPr>
      </w:pPr>
      <w:r>
        <w:rPr>
          <w:b/>
          <w:color w:val="1F4E79"/>
        </w:rPr>
        <w:t xml:space="preserve">A1. </w:t>
      </w:r>
      <w:r>
        <w:t>Do not write a path where |[privilege][@user→@root]| appears without a cluster. That turns an effect into a pseudo-threat.</w:t>
      </w:r>
    </w:p>
    <w:p w14:paraId="7ECFB405" w14:textId="77777777" w:rsidR="00786459" w:rsidRDefault="00000000">
      <w:pPr>
        <w:pStyle w:val="Rule"/>
        <w:keepLines/>
        <w:rPr>
          <w:rFonts w:hint="eastAsia"/>
        </w:rPr>
      </w:pPr>
      <w:r>
        <w:rPr>
          <w:b/>
          <w:color w:val="1F4E79"/>
        </w:rPr>
        <w:t xml:space="preserve">A2. </w:t>
      </w:r>
      <w:r>
        <w:t>Do not use transit to encode vendor blame for a target-side component. Vendor responsibility belongs in prose or metadata.</w:t>
      </w:r>
    </w:p>
    <w:p w14:paraId="013A2E96" w14:textId="77777777" w:rsidR="00786459" w:rsidRDefault="00000000">
      <w:pPr>
        <w:pStyle w:val="Rule"/>
        <w:keepLines/>
        <w:rPr>
          <w:rFonts w:hint="eastAsia"/>
        </w:rPr>
      </w:pPr>
      <w:r>
        <w:rPr>
          <w:b/>
          <w:color w:val="1F4E79"/>
        </w:rPr>
        <w:t xml:space="preserve">A3. </w:t>
      </w:r>
      <w:r>
        <w:t>Do not compress multiple clearly distinct exploit causes into one cluster step simply because the chain remained inside one device.</w:t>
      </w:r>
    </w:p>
    <w:p w14:paraId="3019F341" w14:textId="77777777" w:rsidR="00786459" w:rsidRDefault="00000000">
      <w:pPr>
        <w:pStyle w:val="Rule"/>
        <w:keepLines/>
        <w:rPr>
          <w:rFonts w:hint="eastAsia"/>
        </w:rPr>
      </w:pPr>
      <w:r>
        <w:rPr>
          <w:b/>
          <w:color w:val="1F4E79"/>
        </w:rPr>
        <w:t xml:space="preserve">A4. </w:t>
      </w:r>
      <w:r>
        <w:t>Do not let a platform operator’s presence trick you into #10 unless a trust-link compromise is actually the cause.</w:t>
      </w:r>
    </w:p>
    <w:p w14:paraId="6E95D862" w14:textId="77777777" w:rsidR="00786459" w:rsidRDefault="00000000">
      <w:pPr>
        <w:pStyle w:val="Rule"/>
        <w:keepLines/>
        <w:rPr>
          <w:rFonts w:hint="eastAsia"/>
        </w:rPr>
      </w:pPr>
      <w:r>
        <w:rPr>
          <w:b/>
          <w:color w:val="1F4E79"/>
        </w:rPr>
        <w:t xml:space="preserve">A5. </w:t>
      </w:r>
      <w:r>
        <w:t>Do not let modern exploit vocabulary such as sandbox escape or process pivot replace TLCTC cluster labels.</w:t>
      </w:r>
    </w:p>
    <w:p w14:paraId="059B0FCB" w14:textId="77777777" w:rsidR="00786459" w:rsidRDefault="00000000">
      <w:pPr>
        <w:rPr>
          <w:rFonts w:hint="eastAsia"/>
        </w:rPr>
      </w:pPr>
      <w:r>
        <w:t>Final normative statement: the v2.1 extension is valid only if the threat cluster remains determined by the generic vulnerability exploited, never by the path topology, the boundary crossed, the vendor involved, or the downstream consequence produced.</w:t>
      </w:r>
    </w:p>
    <w:sectPr w:rsidR="00786459" w:rsidSect="00034616">
      <w:headerReference w:type="default" r:id="rId8"/>
      <w:footerReference w:type="default" r:id="rId9"/>
      <w:pgSz w:w="11909" w:h="16834"/>
      <w:pgMar w:top="1152" w:right="1224" w:bottom="1080"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5A96" w14:textId="77777777" w:rsidR="005E3471" w:rsidRDefault="005E3471">
      <w:pPr>
        <w:spacing w:after="0" w:line="240" w:lineRule="auto"/>
        <w:rPr>
          <w:rFonts w:hint="eastAsia"/>
        </w:rPr>
      </w:pPr>
      <w:r>
        <w:separator/>
      </w:r>
    </w:p>
  </w:endnote>
  <w:endnote w:type="continuationSeparator" w:id="0">
    <w:p w14:paraId="57317B33" w14:textId="77777777" w:rsidR="005E3471" w:rsidRDefault="005E34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1871" w14:textId="77777777" w:rsidR="00786459" w:rsidRDefault="00000000">
    <w:pPr>
      <w:pStyle w:val="Fuzeile"/>
      <w:jc w:val="center"/>
      <w:rPr>
        <w:rFonts w:hint="eastAsia"/>
      </w:rPr>
    </w:pPr>
    <w:r>
      <w:rPr>
        <w:color w:val="606060"/>
        <w:sz w:val="17"/>
      </w:rPr>
      <w:t xml:space="preserve">Assistant Draft for </w:t>
    </w:r>
    <w:proofErr w:type="gramStart"/>
    <w:r>
      <w:rPr>
        <w:color w:val="606060"/>
        <w:sz w:val="17"/>
      </w:rPr>
      <w:t>review  •</w:t>
    </w:r>
    <w:proofErr w:type="gramEnd"/>
    <w:r>
      <w:rPr>
        <w:color w:val="606060"/>
        <w:sz w:val="17"/>
      </w:rPr>
      <w:t xml:space="preserve">  March </w:t>
    </w:r>
    <w:proofErr w:type="gramStart"/>
    <w:r>
      <w:rPr>
        <w:color w:val="606060"/>
        <w:sz w:val="17"/>
      </w:rPr>
      <w:t>2026  •</w:t>
    </w:r>
    <w:proofErr w:type="gramEnd"/>
    <w:r>
      <w:rPr>
        <w:color w:val="606060"/>
        <w:sz w:val="17"/>
      </w:rPr>
      <w:t xml:space="preserve">  Page </w:t>
    </w:r>
    <w:r>
      <w:fldChar w:fldCharType="begin"/>
    </w:r>
    <w:r>
      <w:instrText>PAGE</w:instrText>
    </w:r>
    <w:r>
      <w:rPr>
        <w:rFonts w:hint="eastAsia"/>
      </w:rP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C335" w14:textId="77777777" w:rsidR="005E3471" w:rsidRDefault="005E3471">
      <w:pPr>
        <w:spacing w:after="0" w:line="240" w:lineRule="auto"/>
        <w:rPr>
          <w:rFonts w:hint="eastAsia"/>
        </w:rPr>
      </w:pPr>
      <w:r>
        <w:separator/>
      </w:r>
    </w:p>
  </w:footnote>
  <w:footnote w:type="continuationSeparator" w:id="0">
    <w:p w14:paraId="78BBB326" w14:textId="77777777" w:rsidR="005E3471" w:rsidRDefault="005E347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ACBB" w14:textId="77777777" w:rsidR="00786459" w:rsidRDefault="00000000">
    <w:pPr>
      <w:pStyle w:val="Kopfzeile"/>
      <w:rPr>
        <w:rFonts w:hint="eastAsia"/>
      </w:rPr>
    </w:pPr>
    <w:r>
      <w:rPr>
        <w:color w:val="606060"/>
        <w:sz w:val="17"/>
      </w:rPr>
      <w:t>TLCTC Framework — Version 2.1 Full Extension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09055861">
    <w:abstractNumId w:val="8"/>
  </w:num>
  <w:num w:numId="2" w16cid:durableId="297810193">
    <w:abstractNumId w:val="6"/>
  </w:num>
  <w:num w:numId="3" w16cid:durableId="148595366">
    <w:abstractNumId w:val="5"/>
  </w:num>
  <w:num w:numId="4" w16cid:durableId="478304469">
    <w:abstractNumId w:val="4"/>
  </w:num>
  <w:num w:numId="5" w16cid:durableId="506749772">
    <w:abstractNumId w:val="7"/>
  </w:num>
  <w:num w:numId="6" w16cid:durableId="1378160151">
    <w:abstractNumId w:val="3"/>
  </w:num>
  <w:num w:numId="7" w16cid:durableId="2141148664">
    <w:abstractNumId w:val="2"/>
  </w:num>
  <w:num w:numId="8" w16cid:durableId="609511612">
    <w:abstractNumId w:val="1"/>
  </w:num>
  <w:num w:numId="9" w16cid:durableId="14963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C5F"/>
    <w:rsid w:val="0056032C"/>
    <w:rsid w:val="005E3471"/>
    <w:rsid w:val="00786459"/>
    <w:rsid w:val="00AA1D8D"/>
    <w:rsid w:val="00B47730"/>
    <w:rsid w:val="00C76857"/>
    <w:rsid w:val="00CB0664"/>
    <w:rsid w:val="00CD0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6D11C"/>
  <w14:defaultImageDpi w14:val="300"/>
  <w15:docId w15:val="{5A270CE4-EF17-4115-963D-FB94FF3D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9" w:lineRule="auto"/>
    </w:pPr>
    <w:rPr>
      <w:rFonts w:ascii="Aptos" w:hAnsi="Aptos"/>
      <w:color w:val="202020"/>
      <w:sz w:val="21"/>
    </w:rPr>
  </w:style>
  <w:style w:type="paragraph" w:styleId="berschrift1">
    <w:name w:val="heading 1"/>
    <w:basedOn w:val="Standard"/>
    <w:next w:val="Standard"/>
    <w:link w:val="berschrift1Zchn"/>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berschrift2">
    <w:name w:val="heading 2"/>
    <w:basedOn w:val="Standard"/>
    <w:next w:val="Standard"/>
    <w:link w:val="berschrift2Zchn"/>
    <w:uiPriority w:val="9"/>
    <w:unhideWhenUsed/>
    <w:qFormat/>
    <w:rsid w:val="00FC693F"/>
    <w:pPr>
      <w:keepNext/>
      <w:keepLines/>
      <w:spacing w:before="160" w:after="40"/>
      <w:outlineLvl w:val="1"/>
    </w:pPr>
    <w:rPr>
      <w:rFonts w:asciiTheme="majorHAnsi" w:eastAsiaTheme="majorEastAsia" w:hAnsiTheme="majorHAnsi" w:cstheme="majorBidi"/>
      <w:b/>
      <w:bCs/>
      <w:color w:val="1F4E79"/>
      <w:sz w:val="25"/>
      <w:szCs w:val="26"/>
    </w:rPr>
  </w:style>
  <w:style w:type="paragraph" w:styleId="berschrift3">
    <w:name w:val="heading 3"/>
    <w:basedOn w:val="Standard"/>
    <w:next w:val="Standard"/>
    <w:link w:val="berschrift3Zchn"/>
    <w:uiPriority w:val="9"/>
    <w:unhideWhenUsed/>
    <w:qFormat/>
    <w:rsid w:val="00FC693F"/>
    <w:pPr>
      <w:keepNext/>
      <w:keepLines/>
      <w:spacing w:before="120" w:after="20"/>
      <w:outlineLvl w:val="2"/>
    </w:pPr>
    <w:rPr>
      <w:rFonts w:asciiTheme="majorHAnsi" w:eastAsiaTheme="majorEastAsia" w:hAnsiTheme="majorHAnsi" w:cstheme="majorBidi"/>
      <w:b/>
      <w:bCs/>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606060"/>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Standard"/>
    <w:pPr>
      <w:spacing w:after="80"/>
    </w:pPr>
    <w:rPr>
      <w:color w:val="606060"/>
      <w:sz w:val="18"/>
    </w:rPr>
  </w:style>
  <w:style w:type="paragraph" w:customStyle="1" w:styleId="CodeBlock">
    <w:name w:val="CodeBlock"/>
    <w:basedOn w:val="Standard"/>
    <w:pPr>
      <w:spacing w:before="40" w:after="40" w:line="240" w:lineRule="auto"/>
      <w:ind w:left="288" w:right="288"/>
    </w:pPr>
    <w:rPr>
      <w:rFonts w:ascii="Consolas" w:hAnsi="Consolas"/>
      <w:sz w:val="18"/>
    </w:rPr>
  </w:style>
  <w:style w:type="paragraph" w:customStyle="1" w:styleId="Rule">
    <w:name w:val="Rule"/>
    <w:basedOn w:val="Standard"/>
    <w:pPr>
      <w:spacing w:after="80" w:line="259" w:lineRule="auto"/>
      <w:ind w:left="216"/>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3910</Words>
  <Characters>24637</Characters>
  <Application>Microsoft Office Word</Application>
  <DocSecurity>0</DocSecurity>
  <Lines>205</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Bernhard Kreinz</cp:lastModifiedBy>
  <cp:revision>2</cp:revision>
  <dcterms:created xsi:type="dcterms:W3CDTF">2026-03-14T12:46:00Z</dcterms:created>
  <dcterms:modified xsi:type="dcterms:W3CDTF">2026-03-14T12:46:00Z</dcterms:modified>
  <cp:category/>
</cp:coreProperties>
</file>