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57.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Monitoring</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France:</w:t>
      </w:r>
      <w:r>
        <w:t xml:space="preserve">Large-scale</w:t>
      </w:r>
      <w:r>
        <w:t xml:space="preserve"> </w:t>
      </w:r>
      <w:r>
        <w:t xml:space="preserve">Machine-Learning</w:t>
      </w:r>
      <w:r>
        <w:t xml:space="preserve"> </w:t>
      </w:r>
      <w:r>
        <w:t xml:space="preserve">analysis</w:t>
      </w:r>
      <w:r>
        <w:t xml:space="preserve"> </w:t>
      </w:r>
      <w:r>
        <w:t xml:space="preserve">of</w:t>
      </w:r>
      <w:r>
        <w:t xml:space="preserve"> </w:t>
      </w:r>
      <w:r>
        <w:t xml:space="preserve">scientific</w:t>
      </w:r>
      <w:r>
        <w:t xml:space="preserve"> </w:t>
      </w:r>
      <w:r>
        <w:t xml:space="preserve">PDF</w:t>
      </w:r>
    </w:p>
    <w:p>
      <w:pPr>
        <w:pStyle w:val="Author"/>
      </w:pPr>
      <w:r>
        <w:t xml:space="preserve">Aricia Bassinet</w:t>
      </w:r>
      <w:r>
        <w:rPr>
          <w:vertAlign w:val="superscript"/>
        </w:rPr>
        <w:t xml:space="preserve">2</w:t>
      </w:r>
      <w:r>
        <w:t xml:space="preserve">,</w:t>
      </w:r>
      <w:r>
        <w:t xml:space="preserve"> </w:t>
      </w:r>
      <w:r>
        <w:t xml:space="preserve">Laetitia Bracco</w:t>
      </w:r>
      <w:r>
        <w:rPr>
          <w:vertAlign w:val="superscript"/>
        </w:rPr>
        <w:t xml:space="preserve">2</w:t>
      </w:r>
      <w:r>
        <w:t xml:space="preserve">,</w:t>
      </w:r>
      <w:r>
        <w:t xml:space="preserve"> </w:t>
      </w:r>
      <w:r>
        <w:t xml:space="preserve">Anne L'Hôte</w:t>
      </w:r>
      <w:r>
        <w:rPr>
          <w:vertAlign w:val="superscript"/>
        </w:rPr>
        <w:t xml:space="preserve">1</w:t>
      </w:r>
      <w:r>
        <w:t xml:space="preserve">,</w:t>
      </w:r>
      <w:r>
        <w:t xml:space="preserve"> </w:t>
      </w:r>
      <w:r>
        <w:t xml:space="preserve">Eric Jeangirard</w:t>
      </w:r>
      <w:r>
        <w:rPr>
          <w:vertAlign w:val="superscript"/>
        </w:rPr>
        <w:t xml:space="preserve">1</w:t>
      </w:r>
      <w:r>
        <w:t xml:space="preserve">,</w:t>
      </w:r>
      <w:r>
        <w:t xml:space="preserve"> </w:t>
      </w:r>
      <w:r>
        <w:t xml:space="preserve">Patrice Lopez</w:t>
      </w:r>
      <w:r>
        <w:rPr>
          <w:vertAlign w:val="superscript"/>
        </w:rPr>
        <w:t xml:space="preserve">3</w:t>
      </w:r>
      <w:r>
        <w:t xml:space="preserve">,</w:t>
      </w:r>
      <w:r>
        <w:t xml:space="preserve"> </w:t>
      </w:r>
      <w:r>
        <w:t xml:space="preserve">and</w:t>
      </w:r>
      <w:r>
        <w:t xml:space="preserve"> </w:t>
      </w:r>
      <w:r>
        <w:t xml:space="preserve">Laurent Romary</w:t>
      </w:r>
      <w:r>
        <w:rPr>
          <w:vertAlign w:val="superscript"/>
        </w:rPr>
        <w:t xml:space="preserve">4</w:t>
      </w:r>
    </w:p>
    <w:p>
      <w:pPr>
        <w:pStyle w:val="Date"/>
      </w:pPr>
      <w:r>
        <w:t xml:space="preserve">January</w:t>
      </w:r>
      <w:r>
        <w:t xml:space="preserve"> </w:t>
      </w:r>
      <w:r>
        <w:t xml:space="preserve">2023</w:t>
      </w:r>
    </w:p>
    <w:p>
      <w:pPr>
        <w:pStyle w:val="Abstract"/>
      </w:pPr>
      <w:r>
        <w:t xml:space="preserve">There</w:t>
      </w:r>
      <w:r>
        <w:t xml:space="preserve"> </w:t>
      </w:r>
      <w:r>
        <w:t xml:space="preserve">is</w:t>
      </w:r>
      <w:r>
        <w:t xml:space="preserve"> </w:t>
      </w:r>
      <w:r>
        <w:t xml:space="preserve">today</w:t>
      </w:r>
      <w:r>
        <w:t xml:space="preserve"> </w:t>
      </w:r>
      <w:r>
        <w:t xml:space="preserve">no</w:t>
      </w:r>
      <w:r>
        <w:t xml:space="preserve"> </w:t>
      </w:r>
      <w:r>
        <w:t xml:space="preserve">standard</w:t>
      </w:r>
      <w:r>
        <w:t xml:space="preserve"> </w:t>
      </w:r>
      <w:r>
        <w:t xml:space="preserve">way</w:t>
      </w:r>
      <w:r>
        <w:t xml:space="preserve"> </w:t>
      </w:r>
      <w:r>
        <w:t xml:space="preserve">for</w:t>
      </w:r>
      <w:r>
        <w:t xml:space="preserve"> </w:t>
      </w:r>
      <w:r>
        <w:t xml:space="preserve">referencing</w:t>
      </w:r>
      <w:r>
        <w:t xml:space="preserve"> </w:t>
      </w:r>
      <w:r>
        <w:t xml:space="preserve">research</w:t>
      </w:r>
      <w:r>
        <w:t xml:space="preserve"> </w:t>
      </w:r>
      <w:r>
        <w:t xml:space="preserve">datasets</w:t>
      </w:r>
      <w:r>
        <w:t xml:space="preserve"> </w:t>
      </w:r>
      <w:r>
        <w:t xml:space="preserve">and</w:t>
      </w:r>
      <w:r>
        <w:t xml:space="preserve"> </w:t>
      </w:r>
      <w:r>
        <w:t xml:space="preserve">research</w:t>
      </w:r>
      <w:r>
        <w:t xml:space="preserve"> </w:t>
      </w:r>
      <w:r>
        <w:t xml:space="preserve">software</w:t>
      </w:r>
      <w:r>
        <w:t xml:space="preserve"> </w:t>
      </w:r>
      <w:r>
        <w:t xml:space="preserve">in</w:t>
      </w:r>
      <w:r>
        <w:t xml:space="preserve"> </w:t>
      </w:r>
      <w:r>
        <w:t xml:space="preserve">scientific</w:t>
      </w:r>
      <w:r>
        <w:t xml:space="preserve"> </w:t>
      </w:r>
      <w:r>
        <w:t xml:space="preserve">communication.</w:t>
      </w:r>
      <w:r>
        <w:t xml:space="preserve"> </w:t>
      </w:r>
      <w:r>
        <w:t xml:space="preserve">Emerging</w:t>
      </w:r>
      <w:r>
        <w:t xml:space="preserve"> </w:t>
      </w:r>
      <w:r>
        <w:t xml:space="preserve">editorial</w:t>
      </w:r>
      <w:r>
        <w:t xml:space="preserve"> </w:t>
      </w:r>
      <w:r>
        <w:t xml:space="preserve">workflows</w:t>
      </w:r>
      <w:r>
        <w:t xml:space="preserve"> </w:t>
      </w:r>
      <w:r>
        <w:t xml:space="preserve">and</w:t>
      </w:r>
      <w:r>
        <w:t xml:space="preserve"> </w:t>
      </w:r>
      <w:r>
        <w:t xml:space="preserve">supporting</w:t>
      </w:r>
      <w:r>
        <w:t xml:space="preserve"> </w:t>
      </w:r>
      <w:r>
        <w:t xml:space="preserve">infrastructures</w:t>
      </w:r>
      <w:r>
        <w:t xml:space="preserve"> </w:t>
      </w:r>
      <w:r>
        <w:t xml:space="preserve">dedicated</w:t>
      </w:r>
      <w:r>
        <w:t xml:space="preserve"> </w:t>
      </w:r>
      <w:r>
        <w:t xml:space="preserve">to</w:t>
      </w:r>
      <w:r>
        <w:t xml:space="preserve"> </w:t>
      </w:r>
      <w:r>
        <w:t xml:space="preserve">dataset</w:t>
      </w:r>
      <w:r>
        <w:t xml:space="preserve"> </w:t>
      </w:r>
      <w:r>
        <w:t xml:space="preserve">and</w:t>
      </w:r>
      <w:r>
        <w:t xml:space="preserve"> </w:t>
      </w:r>
      <w:r>
        <w:t xml:space="preserve">software</w:t>
      </w:r>
      <w:r>
        <w:t xml:space="preserve"> </w:t>
      </w:r>
      <w:r>
        <w:t xml:space="preserve">are</w:t>
      </w:r>
      <w:r>
        <w:t xml:space="preserve"> </w:t>
      </w:r>
      <w:r>
        <w:t xml:space="preserve">still</w:t>
      </w:r>
      <w:r>
        <w:t xml:space="preserve"> </w:t>
      </w:r>
      <w:r>
        <w:t xml:space="preserve">poorly</w:t>
      </w:r>
      <w:r>
        <w:t xml:space="preserve"> </w:t>
      </w:r>
      <w:r>
        <w:t xml:space="preserve">adopted</w:t>
      </w:r>
      <w:r>
        <w:t xml:space="preserve"> </w:t>
      </w:r>
      <w:r>
        <w:t xml:space="preserve">by</w:t>
      </w:r>
      <w:r>
        <w:t xml:space="preserve"> </w:t>
      </w:r>
      <w:r>
        <w:t xml:space="preserve">current</w:t>
      </w:r>
      <w:r>
        <w:t xml:space="preserve"> </w:t>
      </w:r>
      <w:r>
        <w:t xml:space="preserve">publishing</w:t>
      </w:r>
      <w:r>
        <w:t xml:space="preserve"> </w:t>
      </w:r>
      <w:r>
        <w:t xml:space="preserve">practices</w:t>
      </w:r>
      <w:r>
        <w:t xml:space="preserve"> </w:t>
      </w:r>
      <w:r>
        <w:t xml:space="preserve">and</w:t>
      </w:r>
      <w:r>
        <w:t xml:space="preserve"> </w:t>
      </w:r>
      <w:r>
        <w:t xml:space="preserve">are</w:t>
      </w:r>
      <w:r>
        <w:t xml:space="preserve"> </w:t>
      </w:r>
      <w:r>
        <w:t xml:space="preserve">highly</w:t>
      </w:r>
      <w:r>
        <w:t xml:space="preserve"> </w:t>
      </w:r>
      <w:r>
        <w:t xml:space="preserve">fragmented.</w:t>
      </w:r>
    </w:p>
    <w:p>
      <w:pPr>
        <w:pStyle w:val="Abstract"/>
      </w:pPr>
      <w:r>
        <w:t xml:space="preserve">To</w:t>
      </w:r>
      <w:r>
        <w:t xml:space="preserve"> </w:t>
      </w:r>
      <w:r>
        <w:t xml:space="preserve">better</w:t>
      </w:r>
      <w:r>
        <w:t xml:space="preserve"> </w:t>
      </w:r>
      <w:r>
        <w:t xml:space="preserve">follow</w:t>
      </w:r>
      <w:r>
        <w:t xml:space="preserve"> </w:t>
      </w:r>
      <w:r>
        <w:t xml:space="preserve">the</w:t>
      </w:r>
      <w:r>
        <w:t xml:space="preserve"> </w:t>
      </w:r>
      <w:r>
        <w:t xml:space="preserve">production</w:t>
      </w:r>
      <w:r>
        <w:t xml:space="preserve"> </w:t>
      </w:r>
      <w:r>
        <w:t xml:space="preserve">of</w:t>
      </w:r>
      <w:r>
        <w:t xml:space="preserve"> </w:t>
      </w:r>
      <w:r>
        <w:t xml:space="preserve">research</w:t>
      </w:r>
      <w:r>
        <w:t xml:space="preserve"> </w:t>
      </w:r>
      <w:r>
        <w:t xml:space="preserve">datasets</w:t>
      </w:r>
      <w:r>
        <w:t xml:space="preserve"> </w:t>
      </w:r>
      <w:r>
        <w:t xml:space="preserve">and</w:t>
      </w:r>
      <w:r>
        <w:t xml:space="preserve"> </w:t>
      </w:r>
      <w:r>
        <w:t xml:space="preserve">software,</w:t>
      </w:r>
      <w:r>
        <w:t xml:space="preserve"> </w:t>
      </w:r>
      <w:r>
        <w:t xml:space="preserve">we</w:t>
      </w:r>
      <w:r>
        <w:t xml:space="preserve"> </w:t>
      </w:r>
      <w:r>
        <w:t xml:space="preserve">present</w:t>
      </w:r>
      <w:r>
        <w:t xml:space="preserve"> </w:t>
      </w:r>
      <w:r>
        <w:t xml:space="preserve">a</w:t>
      </w:r>
      <w:r>
        <w:t xml:space="preserve"> </w:t>
      </w:r>
      <w:r>
        <w:t xml:space="preserve">text</w:t>
      </w:r>
      <w:r>
        <w:t xml:space="preserve"> </w:t>
      </w:r>
      <w:r>
        <w:t xml:space="preserve">mining</w:t>
      </w:r>
      <w:r>
        <w:t xml:space="preserve"> </w:t>
      </w:r>
      <w:r>
        <w:t xml:space="preserve">method</w:t>
      </w:r>
      <w:r>
        <w:t xml:space="preserve"> </w:t>
      </w:r>
      <w:r>
        <w:t xml:space="preserve">applied</w:t>
      </w:r>
      <w:r>
        <w:t xml:space="preserve"> </w:t>
      </w:r>
      <w:r>
        <w:t xml:space="preserve">to</w:t>
      </w:r>
      <w:r>
        <w:t xml:space="preserve"> </w:t>
      </w:r>
      <w:r>
        <w:t xml:space="preserve">scientific</w:t>
      </w:r>
      <w:r>
        <w:t xml:space="preserve"> </w:t>
      </w:r>
      <w:r>
        <w:t xml:space="preserve">publications</w:t>
      </w:r>
      <w:r>
        <w:t xml:space="preserve"> </w:t>
      </w:r>
      <w:r>
        <w:t xml:space="preserve">at</w:t>
      </w:r>
      <w:r>
        <w:t xml:space="preserve"> </w:t>
      </w:r>
      <w:r>
        <w:t xml:space="preserve">scale</w:t>
      </w:r>
      <w:r>
        <w:t xml:space="preserve"> </w:t>
      </w:r>
      <w:r>
        <w:t xml:space="preserve">and</w:t>
      </w:r>
      <w:r>
        <w:t xml:space="preserve"> </w:t>
      </w:r>
      <w:r>
        <w:t xml:space="preserve">implemented</w:t>
      </w:r>
      <w:r>
        <w:t xml:space="preserve"> </w:t>
      </w:r>
      <w:r>
        <w:t xml:space="preserve">at</w:t>
      </w:r>
      <w:r>
        <w:t xml:space="preserve"> </w:t>
      </w:r>
      <w:r>
        <w:t xml:space="preserve">the</w:t>
      </w:r>
      <w:r>
        <w:t xml:space="preserve"> </w:t>
      </w:r>
      <w:r>
        <w:t xml:space="preserve">French</w:t>
      </w:r>
      <w:r>
        <w:t xml:space="preserve"> </w:t>
      </w:r>
      <w:r>
        <w:t xml:space="preserve">national</w:t>
      </w:r>
      <w:r>
        <w:t xml:space="preserve"> </w:t>
      </w:r>
      <w:r>
        <w:t xml:space="preserve">level.</w:t>
      </w:r>
      <w:r>
        <w:t xml:space="preserve"> </w:t>
      </w:r>
      <w:r>
        <w:t xml:space="preserve">Our</w:t>
      </w:r>
      <w:r>
        <w:t xml:space="preserve"> </w:t>
      </w:r>
      <w:r>
        <w:t xml:space="preserve">approach</w:t>
      </w:r>
      <w:r>
        <w:t xml:space="preserve"> </w:t>
      </w:r>
      <w:r>
        <w:t xml:space="preserve">relies</w:t>
      </w:r>
      <w:r>
        <w:t xml:space="preserve"> </w:t>
      </w:r>
      <w:r>
        <w:t xml:space="preserve">on</w:t>
      </w:r>
      <w:r>
        <w:t xml:space="preserve"> </w:t>
      </w:r>
      <w:r>
        <w:t xml:space="preserve">state-of-the-art</w:t>
      </w:r>
      <w:r>
        <w:t xml:space="preserve"> </w:t>
      </w:r>
      <w:r>
        <w:t xml:space="preserve">Machine</w:t>
      </w:r>
      <w:r>
        <w:t xml:space="preserve"> </w:t>
      </w:r>
      <w:r>
        <w:t xml:space="preserve">Learning</w:t>
      </w:r>
      <w:r>
        <w:t xml:space="preserve"> </w:t>
      </w:r>
      <w:r>
        <w:t xml:space="preserve">and</w:t>
      </w:r>
      <w:r>
        <w:t xml:space="preserve"> </w:t>
      </w:r>
      <w:r>
        <w:t xml:space="preserve">document</w:t>
      </w:r>
      <w:r>
        <w:t xml:space="preserve"> </w:t>
      </w:r>
      <w:r>
        <w:t xml:space="preserve">engineering</w:t>
      </w:r>
      <w:r>
        <w:t xml:space="preserve"> </w:t>
      </w:r>
      <w:r>
        <w:t xml:space="preserve">techniques</w:t>
      </w:r>
      <w:r>
        <w:t xml:space="preserve"> </w:t>
      </w:r>
      <w:r>
        <w:t xml:space="preserve">to</w:t>
      </w:r>
      <w:r>
        <w:t xml:space="preserve"> </w:t>
      </w:r>
      <w:r>
        <w:t xml:space="preserve">ensure</w:t>
      </w:r>
      <w:r>
        <w:t xml:space="preserve"> </w:t>
      </w:r>
      <w:r>
        <w:t xml:space="preserve">satisfactory</w:t>
      </w:r>
      <w:r>
        <w:t xml:space="preserve"> </w:t>
      </w:r>
      <w:r>
        <w:t xml:space="preserve">accuracy</w:t>
      </w:r>
      <w:r>
        <w:t xml:space="preserve"> </w:t>
      </w:r>
      <w:r>
        <w:t xml:space="preserve">across</w:t>
      </w:r>
      <w:r>
        <w:t xml:space="preserve"> </w:t>
      </w:r>
      <w:r>
        <w:t xml:space="preserve">multiple</w:t>
      </w:r>
      <w:r>
        <w:t xml:space="preserve"> </w:t>
      </w:r>
      <w:r>
        <w:t xml:space="preserve">research</w:t>
      </w:r>
      <w:r>
        <w:t xml:space="preserve"> </w:t>
      </w:r>
      <w:r>
        <w:t xml:space="preserve">areas</w:t>
      </w:r>
      <w:r>
        <w:t xml:space="preserve"> </w:t>
      </w:r>
      <w:r>
        <w:t xml:space="preserve">and</w:t>
      </w:r>
      <w:r>
        <w:t xml:space="preserve"> </w:t>
      </w:r>
      <w:r>
        <w:t xml:space="preserve">document</w:t>
      </w:r>
      <w:r>
        <w:t xml:space="preserve"> </w:t>
      </w:r>
      <w:r>
        <w:t xml:space="preserve">types,</w:t>
      </w:r>
      <w:r>
        <w:t xml:space="preserve"> </w:t>
      </w:r>
      <w:r>
        <w:t xml:space="preserve">combining</w:t>
      </w:r>
      <w:r>
        <w:t xml:space="preserve"> </w:t>
      </w:r>
      <w:r>
        <w:t xml:space="preserve">full-text</w:t>
      </w:r>
      <w:r>
        <w:t xml:space="preserve"> </w:t>
      </w:r>
      <w:r>
        <w:t xml:space="preserve">harvesting,</w:t>
      </w:r>
      <w:r>
        <w:t xml:space="preserve"> </w:t>
      </w:r>
      <w:r>
        <w:t xml:space="preserve">mention</w:t>
      </w:r>
      <w:r>
        <w:t xml:space="preserve"> </w:t>
      </w:r>
      <w:r>
        <w:t xml:space="preserve">extraction,</w:t>
      </w:r>
      <w:r>
        <w:t xml:space="preserve"> </w:t>
      </w:r>
      <w:r>
        <w:t xml:space="preserve">context</w:t>
      </w:r>
      <w:r>
        <w:t xml:space="preserve"> </w:t>
      </w:r>
      <w:r>
        <w:t xml:space="preserve">characterization</w:t>
      </w:r>
      <w:r>
        <w:t xml:space="preserve"> </w:t>
      </w:r>
      <w:r>
        <w:t xml:space="preserve">and</w:t>
      </w:r>
      <w:r>
        <w:t xml:space="preserve"> </w:t>
      </w:r>
      <w:r>
        <w:t xml:space="preserve">corpus-level</w:t>
      </w:r>
      <w:r>
        <w:t xml:space="preserve"> </w:t>
      </w:r>
      <w:r>
        <w:t xml:space="preserve">analysis.</w:t>
      </w:r>
    </w:p>
    <w:p>
      <w:pPr>
        <w:pStyle w:val="Abstract"/>
      </w:pPr>
      <w:r>
        <w:t xml:space="preserve">The</w:t>
      </w:r>
      <w:r>
        <w:t xml:space="preserve"> </w:t>
      </w:r>
      <w:r>
        <w:t xml:space="preserve">annotations</w:t>
      </w:r>
      <w:r>
        <w:t xml:space="preserve"> </w:t>
      </w:r>
      <w:r>
        <w:t xml:space="preserve">produced</w:t>
      </w:r>
      <w:r>
        <w:t xml:space="preserve"> </w:t>
      </w:r>
      <w:r>
        <w:t xml:space="preserve">by</w:t>
      </w:r>
      <w:r>
        <w:t xml:space="preserve"> </w:t>
      </w:r>
      <w:r>
        <w:t xml:space="preserve">our</w:t>
      </w:r>
      <w:r>
        <w:t xml:space="preserve"> </w:t>
      </w:r>
      <w:r>
        <w:t xml:space="preserve">system</w:t>
      </w:r>
      <w:r>
        <w:t xml:space="preserve"> </w:t>
      </w:r>
      <w:r>
        <w:t xml:space="preserve">are</w:t>
      </w:r>
      <w:r>
        <w:t xml:space="preserve"> </w:t>
      </w:r>
      <w:r>
        <w:t xml:space="preserve">used</w:t>
      </w:r>
      <w:r>
        <w:t xml:space="preserve"> </w:t>
      </w:r>
      <w:r>
        <w:t xml:space="preserve">by</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(BSO)</w:t>
      </w:r>
      <w:r>
        <w:t xml:space="preserve"> </w:t>
      </w:r>
      <w:hyperlink r:id="rId20">
        <w:r>
          <w:rPr>
            <w:rStyle w:val="Hyperlink"/>
          </w:rPr>
          <w:t xml:space="preserve">platform</w:t>
        </w:r>
      </w:hyperlink>
      <w:r>
        <w:t xml:space="preserve"> </w:t>
      </w:r>
      <w:r>
        <w:t xml:space="preserve">to</w:t>
      </w:r>
      <w:r>
        <w:t xml:space="preserve"> </w:t>
      </w:r>
      <w:r>
        <w:t xml:space="preserve">follow</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the</w:t>
      </w:r>
      <w:r>
        <w:t xml:space="preserve"> </w:t>
      </w:r>
      <w:r>
        <w:t xml:space="preserve">second</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p>
    <w:p>
      <w:pPr>
        <w:pStyle w:val="Abstract"/>
      </w:pPr>
      <w:r>
        <w:t xml:space="preserve">The</w:t>
      </w:r>
      <w:r>
        <w:t xml:space="preserve"> </w:t>
      </w:r>
      <w:r>
        <w:t xml:space="preserve">source</w:t>
      </w:r>
      <w:r>
        <w:t xml:space="preserve"> </w:t>
      </w:r>
      <w:r>
        <w:t xml:space="preserve">code</w:t>
      </w:r>
      <w:r>
        <w:t xml:space="preserve"> </w:t>
      </w:r>
      <w:r>
        <w:t xml:space="preserve">and</w:t>
      </w:r>
      <w:r>
        <w:t xml:space="preserve"> </w:t>
      </w:r>
      <w:r>
        <w:t xml:space="preserve">the</w:t>
      </w:r>
      <w:r>
        <w:t xml:space="preserve"> </w:t>
      </w:r>
      <w:r>
        <w:t xml:space="preserve">data</w:t>
      </w:r>
      <w:r>
        <w:t xml:space="preserve"> </w:t>
      </w:r>
      <w:r>
        <w:t xml:space="preserve">of</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as</w:t>
      </w:r>
      <w:r>
        <w:t xml:space="preserve"> </w:t>
      </w:r>
      <w:r>
        <w:t xml:space="preserve">well</w:t>
      </w:r>
      <w:r>
        <w:t xml:space="preserve"> </w:t>
      </w:r>
      <w:r>
        <w:t xml:space="preserve">as</w:t>
      </w:r>
      <w:r>
        <w:t xml:space="preserve"> </w:t>
      </w:r>
      <w:r>
        <w:t xml:space="preserve">all</w:t>
      </w:r>
      <w:r>
        <w:t xml:space="preserve"> </w:t>
      </w:r>
      <w:r>
        <w:t xml:space="preserve">the</w:t>
      </w:r>
      <w:r>
        <w:t xml:space="preserve"> </w:t>
      </w:r>
      <w:r>
        <w:t xml:space="preserve">associated</w:t>
      </w:r>
      <w:r>
        <w:t xml:space="preserve"> </w:t>
      </w:r>
      <w:r>
        <w:t xml:space="preserve">tools</w:t>
      </w:r>
      <w:r>
        <w:t xml:space="preserve"> </w:t>
      </w:r>
      <w:r>
        <w:t xml:space="preserve">and</w:t>
      </w:r>
      <w:r>
        <w:t xml:space="preserve"> </w:t>
      </w:r>
      <w:r>
        <w:t xml:space="preserve">training</w:t>
      </w:r>
      <w:r>
        <w:t xml:space="preserve"> </w:t>
      </w:r>
      <w:r>
        <w:t xml:space="preserve">datasets,</w:t>
      </w:r>
      <w:r>
        <w:t xml:space="preserve"> </w:t>
      </w:r>
      <w:r>
        <w:t xml:space="preserve">are</w:t>
      </w:r>
      <w:r>
        <w:t xml:space="preserve"> </w:t>
      </w:r>
      <w:r>
        <w:t xml:space="preserve">available</w:t>
      </w:r>
      <w:r>
        <w:t xml:space="preserve"> </w:t>
      </w:r>
      <w:r>
        <w:t xml:space="preserve">under</w:t>
      </w:r>
      <w:r>
        <w:t xml:space="preserve"> </w:t>
      </w:r>
      <w:r>
        <w:t xml:space="preserve">open</w:t>
      </w:r>
      <w:r>
        <w:t xml:space="preserve"> </w:t>
      </w:r>
      <w:r>
        <w:t xml:space="preserve">licences.</w:t>
      </w:r>
    </w:p>
    <w:p>
      <w:pPr>
        <w:pStyle w:val="FirstParagraph"/>
      </w:pPr>
      <w:r>
        <w:rPr>
          <w:vertAlign w:val="superscript"/>
        </w:rPr>
        <w:t xml:space="preserve">1</w:t>
      </w:r>
      <w:r>
        <w:t xml:space="preserve"> </w:t>
      </w:r>
      <w:r>
        <w:t xml:space="preserve">French Ministry of Higher Education and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science-miner, France</w:t>
      </w:r>
      <w:r>
        <w:br/>
      </w:r>
      <w:r>
        <w:rPr>
          <w:vertAlign w:val="superscript"/>
        </w:rPr>
        <w:t xml:space="preserve">4</w:t>
      </w:r>
      <w:r>
        <w:t xml:space="preserve"> </w:t>
      </w:r>
      <w:r>
        <w:t xml:space="preserve">Inria, France</w:t>
      </w:r>
    </w:p>
    <w:p>
      <w:pPr>
        <w:pStyle w:val="BodyText"/>
      </w:pPr>
      <w:r>
        <w:rPr>
          <w:b/>
        </w:rPr>
        <w:t xml:space="preserve">Keywords</w:t>
      </w:r>
      <w:r>
        <w:t xml:space="preserve">: research software, research data, open access, open science, scientometrics</w:t>
      </w:r>
    </w:p>
    <w:bookmarkStart w:id="27" w:name="introduction"/>
    <w:p>
      <w:pPr>
        <w:pStyle w:val="Heading1"/>
      </w:pPr>
      <w:r>
        <w:t xml:space="preserve">1. Introduction</w:t>
      </w:r>
    </w:p>
    <w:bookmarkStart w:id="21" w:name="motivations"/>
    <w:p>
      <w:pPr>
        <w:pStyle w:val="Heading2"/>
      </w:pPr>
      <w:r>
        <w:t xml:space="preserve">Motivations</w:t>
      </w:r>
    </w:p>
    <w:p>
      <w:pPr>
        <w:pStyle w:val="FirstParagraph"/>
      </w:pPr>
      <w:r>
        <w:t xml:space="preserve">Datasets and software are today core elements of the research activities. 90-95% of researchers in the US and the UK rely upon software, and more than 60% would be unable to continue working if such software stopped functioning</w:t>
      </w:r>
      <w:r>
        <w:t xml:space="preserve"> </w:t>
      </w:r>
      <w:r>
        <w:t xml:space="preserve">(Philippe et al. 2019)</w:t>
      </w:r>
      <w:r>
        <w:t xml:space="preserve">. Nearly half of the researchers commonly use data generated by other scientists</w:t>
      </w:r>
      <w:r>
        <w:t xml:space="preserve"> </w:t>
      </w:r>
      <w:r>
        <w:t xml:space="preserve">(Science staff 2011)</w:t>
      </w:r>
      <w:r>
        <w:t xml:space="preserve"> </w:t>
      </w:r>
      <w:r>
        <w:t xml:space="preserve">and the vast majority of researchers support data sharing</w:t>
      </w:r>
      <w:r>
        <w:t xml:space="preserve"> </w:t>
      </w:r>
      <w:r>
        <w:t xml:space="preserve">(Tenopir 2015)</w:t>
      </w:r>
      <w:r>
        <w:t xml:space="preserve">. The critical role of research data and software is today broadly acknowledged, in particular for better supporting the reuse and the reproducibility of research results</w:t>
      </w:r>
      <w:r>
        <w:t xml:space="preserve"> </w:t>
      </w:r>
      <w:r>
        <w:t xml:space="preserve">(Laurinavichyute, Yadav, and Vasishth 2022)</w:t>
      </w:r>
      <w:r>
        <w:t xml:space="preserve">.</w:t>
      </w:r>
    </w:p>
    <w:p>
      <w:pPr>
        <w:pStyle w:val="BodyText"/>
      </w:pPr>
      <w:r>
        <w:t xml:space="preserve">Recently, pro-active and voluntarist policies to enforce higher standards of openness and visibility for all research results have been introduced. National Open Science policies in particular are currently rapidly developing. One outstanding example is the French national plan for Open Science, an effort supported by 5 million euros annual budget in 2018-2021, extended in a second phase 2022-2024 and an increased budget to 15 million euros per year, to promote every aspects of Open Science in France, including in particular the openness of research datasets and software.</w:t>
      </w:r>
    </w:p>
    <w:p>
      <w:pPr>
        <w:pStyle w:val="BodyText"/>
      </w:pPr>
      <w:r>
        <w:t xml:space="preserve">To evaluate, adapt and maximize the adoption of these policies, their effects must be measured. Monitoring tools and dashboards are crucial to follow the evoluation of practice regarding openness and sharing of dataset and software. However, in contrast with the well established practice of citing scholar publication, the visibility of research datasets and software is considered largely insufficient and challenging.</w:t>
      </w:r>
    </w:p>
    <w:p>
      <w:pPr>
        <w:pStyle w:val="BodyText"/>
      </w:pPr>
      <w:r>
        <w:t xml:space="preserve">(Park, You, and Wolfram 2018)</w:t>
      </w:r>
      <w:r>
        <w:t xml:space="preserve"> </w:t>
      </w:r>
      <w:r>
        <w:t xml:space="preserve">shows that most data indications are informal (mentions without cross-reference with a bibliographical section and without identifiers) and found mostly in footnotes, acknowledgement or supplementary materials sections of research publication. Similarly, software are not cited in scholarly publications in a consistent and easily readable manner</w:t>
      </w:r>
      <w:r>
        <w:t xml:space="preserve"> </w:t>
      </w:r>
      <w:r>
        <w:t xml:space="preserve">(Howison and Bullard 2016)</w:t>
      </w:r>
      <w:r>
        <w:t xml:space="preserve">. Multiple initiatives took place in last decade to address this issue, in particular focusing on improving dataset and software cataloging [], advocacy efforts and standards for data and software citation []. The main policy effort regarding dataset and software identification is currently focusing on using PID similar to the sucessfull Crossref DOI for the research publications.</w:t>
      </w:r>
    </w:p>
    <w:p>
      <w:pPr>
        <w:pStyle w:val="BodyText"/>
      </w:pPr>
      <w:r>
        <w:t xml:space="preserve">However, when they exist, the PID associated to software are currently not used</w:t>
      </w:r>
      <w:r>
        <w:t xml:space="preserve"> </w:t>
      </w:r>
      <w:r>
        <w:t xml:space="preserve">(Du et al. n.d.)</w:t>
      </w:r>
      <w:r>
        <w:t xml:space="preserve">. Regarding PID usage for dataset citations, He and Han</w:t>
      </w:r>
      <w:r>
        <w:t xml:space="preserve"> </w:t>
      </w:r>
      <w:r>
        <w:t xml:space="preserve">(He and Han 2017)</w:t>
      </w:r>
      <w:r>
        <w:t xml:space="preserve"> </w:t>
      </w:r>
      <w:r>
        <w:t xml:space="preserve">report that less than 10% of publications that include data mentions contain any PID. According to the study of</w:t>
      </w:r>
      <w:r>
        <w:t xml:space="preserve"> </w:t>
      </w:r>
      <w:r>
        <w:t xml:space="preserve">(Macgregor, Lancho-Barrantes, and Pennington 2022)</w:t>
      </w:r>
      <w:r>
        <w:t xml:space="preserve">, PID associated to data have a much more limited awareness among researchers as compared to publication PID. With their current limited adoption and impact, PID for data and software can not provide today realistic measurements of their usage, creation and sharing.</w:t>
      </w:r>
    </w:p>
    <w:p>
      <w:pPr>
        <w:pStyle w:val="BodyText"/>
      </w:pPr>
      <w:r>
        <w:t xml:space="preserve">One immediately available alternative to PID for dataset and software is to rely on a text mining approach to detect automatically their mentions in scholar full texts and their role in the described research work. If the corpus of scientific full text is comprehensive enough, this approach can provide a realistic snapshot of the actual practices regarding research datasets and software at a given time, and lead to the creation of trustful and useful indicators for monitoring the impact of open science policies.</w:t>
      </w:r>
    </w:p>
    <w:p>
      <w:pPr>
        <w:pStyle w:val="BodyText"/>
      </w:pPr>
      <w:r>
        <w:t xml:space="preserve">For extending the French Open Science Monitor (BSO)</w:t>
      </w:r>
      <w:r>
        <w:t xml:space="preserve"> </w:t>
      </w:r>
      <w:hyperlink r:id="rId20">
        <w:r>
          <w:rPr>
            <w:rStyle w:val="Hyperlink"/>
          </w:rPr>
          <w:t xml:space="preserve">platform</w:t>
        </w:r>
      </w:hyperlink>
      <w:r>
        <w:t xml:space="preserve"> </w:t>
      </w:r>
      <w:r>
        <w:t xml:space="preserve">(Bracco et al. 2022)</w:t>
      </w:r>
      <w:r>
        <w:t xml:space="preserve"> </w:t>
      </w:r>
      <w:r>
        <w:t xml:space="preserve">to measure the openness of datasets and software, we choosed this approach and implemented a large text mining pipeline applied to a vast corpus of scientific publications including at least one author with a French affiliation. We will describe in this paper that recent advances in scientific text mining make possible fine-grained bottom-up approaches to capture reliably the dataset and software mentions directly from the full text publications, as well as the characterization of these mentions in term of usage, creation and sharing.</w:t>
      </w:r>
    </w:p>
    <w:bookmarkEnd w:id="21"/>
    <w:bookmarkStart w:id="22" w:name="the-french-open-science-monitor"/>
    <w:p>
      <w:pPr>
        <w:pStyle w:val="Heading2"/>
      </w:pPr>
      <w:r>
        <w:t xml:space="preserve">The French Open Science Monitor</w:t>
      </w:r>
    </w:p>
    <w:p>
      <w:pPr>
        <w:pStyle w:val="FirstParagraph"/>
      </w:pPr>
      <w:r>
        <w:t xml:space="preserve">The French Open Science Monitor, also called BSO for</w:t>
      </w:r>
      <w:r>
        <w:t xml:space="preserve"> </w:t>
      </w:r>
      <w:r>
        <w:t xml:space="preserve">‘</w:t>
      </w:r>
      <w:r>
        <w:t xml:space="preserve">Baromètre de la Science Ouverte</w:t>
      </w:r>
      <w:r>
        <w:t xml:space="preserve">’</w:t>
      </w:r>
      <w:r>
        <w:t xml:space="preserve">, is a tool for monitoring and steering the public policy linked to the first French National Plan for Open Science</w:t>
      </w:r>
      <w:r>
        <w:t xml:space="preserve"> </w:t>
      </w:r>
      <w:r>
        <w:t xml:space="preserve">(MESR 2018)</w:t>
      </w:r>
      <w:r>
        <w:t xml:space="preserve">. A first version of the tool was launched in 2019 providing measurements of the rate of Open Access publications produced by all public French research entities. A follow-up second Plan for Open Science</w:t>
      </w:r>
      <w:r>
        <w:t xml:space="preserve"> </w:t>
      </w:r>
      <w:r>
        <w:t xml:space="preserve">(MESR 2021)</w:t>
      </w:r>
      <w:r>
        <w:t xml:space="preserve"> </w:t>
      </w:r>
      <w:r>
        <w:t xml:space="preserve">has started to further promote and develop the French open science policy, including a focus on research data and research software. The French Open Science Monitor is updated every year</w:t>
      </w:r>
      <w:r>
        <w:t xml:space="preserve"> </w:t>
      </w:r>
      <w:r>
        <w:t xml:space="preserve">(Bracco et al. 2022)</w:t>
      </w:r>
      <w:r>
        <w:t xml:space="preserve">, however measurements related to research datasets and software were not covered yet.</w:t>
      </w:r>
    </w:p>
    <w:p>
      <w:pPr>
        <w:pStyle w:val="BodyText"/>
      </w:pPr>
      <w:r>
        <w:t xml:space="preserve">The extension of the French Open Science Monitor to research datasets and software was funded following a call for projects within the framework of the French Recovery Plan (</w:t>
      </w:r>
      <w:r>
        <w:rPr>
          <w:i/>
        </w:rPr>
        <w:t xml:space="preserve">France Relance</w:t>
      </w:r>
      <w:r>
        <w:t xml:space="preserve">). The University of Lorraine has been asked by the Ministry of Higher Education and Research (MESR) to lead this project alongside the MESR’s Department of Decision Support Tools and Inria.</w:t>
      </w:r>
    </w:p>
    <w:p>
      <w:pPr>
        <w:pStyle w:val="BodyText"/>
      </w:pPr>
      <w:r>
        <w:t xml:space="preserve">Laetitia : je propose une introduction un peu plus détaillée ci-dessous</w:t>
      </w:r>
    </w:p>
    <w:p>
      <w:pPr>
        <w:pStyle w:val="BodyText"/>
      </w:pPr>
      <w:r>
        <w:t xml:space="preserve">Open Science is the unrestricted dissemination of research publications, data and software software. This makes science more cumulative, more strongly supported by data, more transparent, faster and more universally accessible. Open Science leads to a democratization of access to knowledge, useful for research, training, economy, society. It thus increases the efficiency of research, promotes scientific progress and is a lever for scientific advances and is a lever for scientific integrity while promoting the confidence of citizens in science. The National Plan for Open Science, launched in 2018, has set an ambitious course and instilled new practices in terms of open access to publications and the opening of research data and codes.</w:t>
      </w:r>
    </w:p>
    <w:p>
      <w:pPr>
        <w:pStyle w:val="BodyText"/>
      </w:pPr>
      <w:r>
        <w:t xml:space="preserve">In 2019, the French Open Science Barometer was created to measure the openness of publications and the annual progression of this openness. It is composed of graphs showing the proportion of open access publications by year, publisher and discipline.</w:t>
      </w:r>
    </w:p>
    <w:p>
      <w:pPr>
        <w:pStyle w:val="BodyText"/>
      </w:pPr>
      <w:r>
        <w:t xml:space="preserve">In 2020, the University of Lorraine published the first local version of the with the online publication of the Lorraine Open Science Barometer. This publication has led to many monitors by other institutions such as the University of Evry, the University of Paris Saclay, and the University of Versailles-Saint-Quentin-en-Yvelines.</w:t>
      </w:r>
    </w:p>
    <w:p>
      <w:pPr>
        <w:pStyle w:val="BodyText"/>
      </w:pPr>
      <w:r>
        <w:t xml:space="preserve">In 2021, the new version of BSO, BSO 2, was extended with tese indicators in the field of health, including new information on clinical trials and observational studies. The BSO is therefore constantly evolving. While publications are an essential aspect of Open Science, they are not sufficient to capture all its facets. Indeed, it is reductive to consider it from this angle alone: the opening of research data software codes, descriptive metadata of publications and data (see the work of OpenCitations on this subject) promotes the reproducibility of research results, the reuse of reuse of data and the transparency of research.</w:t>
      </w:r>
    </w:p>
    <w:p>
      <w:pPr>
        <w:pStyle w:val="BodyText"/>
      </w:pPr>
      <w:r>
        <w:t xml:space="preserve">For this reason, research data and software codes should also be subject to indicators that measure their openness. As many studies (https://arxiv.org/abs/1907.02565) underline the direct correlation between reporting of associated data and citation of articles, this practice can only be encouraged.</w:t>
      </w:r>
    </w:p>
    <w:p>
      <w:pPr>
        <w:pStyle w:val="BodyText"/>
      </w:pPr>
      <w:r>
        <w:t xml:space="preserve">The objective of this new BSO is therefore to measure the implementation of a public policy on data, whose major milestones span several decades: the CADA law, the law for a Republic, the Bothorel report, and the Prime Minister’s circular dated April 27, 2021.</w:t>
      </w:r>
    </w:p>
    <w:bookmarkEnd w:id="22"/>
    <w:bookmarkStart w:id="23" w:name="X968ce8564af4ec415250031aafc5c849a97e56c"/>
    <w:p>
      <w:pPr>
        <w:pStyle w:val="Heading2"/>
      </w:pPr>
      <w:r>
        <w:t xml:space="preserve">Quality criteria for Open Science indicators</w:t>
      </w:r>
    </w:p>
    <w:p>
      <w:pPr>
        <w:pStyle w:val="FirstParagraph"/>
      </w:pPr>
      <w:r>
        <w:t xml:space="preserve">What are the quality criteria for useful and reliable indicators on the production of research datasets and research software ?</w:t>
      </w:r>
    </w:p>
    <w:p>
      <w:pPr>
        <w:numPr>
          <w:ilvl w:val="0"/>
          <w:numId w:val="1001"/>
        </w:numPr>
        <w:pStyle w:val="Compact"/>
      </w:pPr>
      <w:r>
        <w:rPr>
          <w:b/>
        </w:rPr>
        <w:t xml:space="preserve">Coverage</w:t>
      </w:r>
      <w:r>
        <w:t xml:space="preserve">: Ideally the indicators should cover all the scientific productions of interest in the context of Open Science policies. This is very challenging for research datasets and software, because to a large extend they are not identified nor indexed as traditional scholar articles.</w:t>
      </w:r>
    </w:p>
    <w:p>
      <w:pPr>
        <w:numPr>
          <w:ilvl w:val="0"/>
          <w:numId w:val="1002"/>
        </w:numPr>
      </w:pPr>
      <w:r>
        <w:rPr>
          <w:b/>
        </w:rPr>
        <w:t xml:space="preserve">Accuracy</w:t>
      </w:r>
      <w:r>
        <w:t xml:space="preserve">: Indicator should be reliable, in particular avoiding false positive and duplications. This criteria supposes rigourous and reproducible evaluations in term of usual accuracy metrics (e.g. precision, recall, F1-score) and to rely on reliable authoritative sources.</w:t>
      </w:r>
    </w:p>
    <w:p>
      <w:pPr>
        <w:numPr>
          <w:ilvl w:val="0"/>
          <w:numId w:val="1002"/>
        </w:numPr>
      </w:pPr>
      <w:r>
        <w:rPr>
          <w:b/>
        </w:rPr>
        <w:t xml:space="preserve">Freshness</w:t>
      </w:r>
      <w:r>
        <w:t xml:space="preserve">: Policy indicators are developed to capture recent changes in publishing practices. The data acquisition underlying these indicators should reduce as much as possible delays between actual publication dates and measurements.</w:t>
      </w:r>
    </w:p>
    <w:p>
      <w:pPr>
        <w:numPr>
          <w:ilvl w:val="0"/>
          <w:numId w:val="1002"/>
        </w:numPr>
      </w:pPr>
      <w:r>
        <w:rPr>
          <w:b/>
        </w:rPr>
        <w:t xml:space="preserve">Adaptibility to different geographical and organizational levels</w:t>
      </w:r>
      <w:r>
        <w:t xml:space="preserve">: To exploit indicators, we expect that further analyses are possible beyond national level. Deriving indicators at the level of geographical areas and at the level of organizations (Universities, research intitutes) are requirements for proper study and adaptation an Open Science policy.</w:t>
      </w:r>
    </w:p>
    <w:p>
      <w:pPr>
        <w:numPr>
          <w:ilvl w:val="0"/>
          <w:numId w:val="1002"/>
        </w:numPr>
      </w:pPr>
      <w:r>
        <w:rPr>
          <w:b/>
        </w:rPr>
        <w:t xml:space="preserve">Adaptibility to different research domains</w:t>
      </w:r>
      <w:r>
        <w:t xml:space="preserve">: We know that pratices can vary significantly from one research domains to another one. The volume of scientific production is also specific to research areas, and can be entirely diluted and invisible with global indicators. Following the evolution of indicators by scientific and technical domains is a key requirement.</w:t>
      </w:r>
    </w:p>
    <w:p>
      <w:pPr>
        <w:numPr>
          <w:ilvl w:val="0"/>
          <w:numId w:val="1002"/>
        </w:numPr>
      </w:pPr>
      <w:r>
        <w:rPr>
          <w:b/>
        </w:rPr>
        <w:t xml:space="preserve">Fairness</w:t>
      </w:r>
      <w:r>
        <w:t xml:space="preserve">: Indicators should maintain consistency in terms of domains and languages. As much as possible, we want to avoid exclusion of some research areas and languages. This aspect is challenging for example with Social Sciences and Humanities, where publications are more incompletely referenced by large bibliographical index, and in general for languages other English.</w:t>
      </w:r>
    </w:p>
    <w:p>
      <w:pPr>
        <w:numPr>
          <w:ilvl w:val="0"/>
          <w:numId w:val="1002"/>
        </w:numPr>
      </w:pPr>
      <w:r>
        <w:rPr>
          <w:b/>
        </w:rPr>
        <w:t xml:space="preserve">Understandability and interpretability</w:t>
      </w:r>
      <w:r>
        <w:t xml:space="preserve">: Indicators should present measurements easy to comprehend for researchers and for the public. For example, if expressed as a percentage, the indicator maximum value (100%) should be clear and directly correspond to a goal of the evaluated public policy.</w:t>
      </w:r>
    </w:p>
    <w:p>
      <w:pPr>
        <w:numPr>
          <w:ilvl w:val="0"/>
          <w:numId w:val="1002"/>
        </w:numPr>
      </w:pPr>
      <w:r>
        <w:rPr>
          <w:b/>
        </w:rPr>
        <w:t xml:space="preserve">Consistency maintained over time</w:t>
      </w:r>
      <w:r>
        <w:t xml:space="preserve">: Indicators produced for a given year must be directly comparable with the indicators from previous years, in order to follow correctly the evaluation of research activity over time. The consistency should be valid in term of measurement methodology, corpus, and presentation.</w:t>
      </w:r>
    </w:p>
    <w:p>
      <w:pPr>
        <w:numPr>
          <w:ilvl w:val="0"/>
          <w:numId w:val="1002"/>
        </w:numPr>
      </w:pPr>
      <w:r>
        <w:rPr>
          <w:b/>
        </w:rPr>
        <w:t xml:space="preserve">Independence and trustfulness for the researchers</w:t>
      </w:r>
      <w:r>
        <w:t xml:space="preserve">: to be trusted by public researchers, public indicators should be as much as possible independent from commercial resources, limitations and interests. Open source, open data and open access documentation…</w:t>
      </w:r>
    </w:p>
    <w:bookmarkEnd w:id="23"/>
    <w:bookmarkStart w:id="26" w:name="X259053e8fcefd610eeaafdcff30e25dd900bdc8"/>
    <w:p>
      <w:pPr>
        <w:pStyle w:val="Heading2"/>
      </w:pPr>
      <w:r>
        <w:t xml:space="preserve">Existing Open Science indicators for research datasets and research software</w:t>
      </w:r>
    </w:p>
    <w:p>
      <w:pPr>
        <w:pStyle w:val="FirstParagraph"/>
      </w:pPr>
      <w:r>
        <w:t xml:space="preserve">There currently few examples of deployed Open Science monitors related to research data and software. How do they perform regarding the quality criteria presented in the previous section?</w:t>
      </w:r>
    </w:p>
    <w:bookmarkStart w:id="24" w:name="openaire"/>
    <w:p>
      <w:pPr>
        <w:pStyle w:val="Heading3"/>
      </w:pPr>
      <w:r>
        <w:t xml:space="preserve">OpenAire</w:t>
      </w:r>
    </w:p>
    <w:p>
      <w:pPr>
        <w:pStyle w:val="FirstParagraph"/>
      </w:pPr>
      <w:r>
        <w:t xml:space="preserve">…</w:t>
      </w:r>
    </w:p>
    <w:p>
      <w:pPr>
        <w:pStyle w:val="BodyText"/>
      </w:pPr>
      <w:r>
        <w:t xml:space="preserve">Such limited coverage leads to extremely biased and unreliable indicators, leading to counter-productive dashboards (for instance indicating incorrectly that only a handful of datasets is produced at the scale of a whole University during one year). Publishing aggregated dashboard on unreliable and non-representative data can lead to disengagement of the public for the tool, false interpretation, wrong public policy decisions and unability to assess public the application of Open Science policies.</w:t>
      </w:r>
    </w:p>
    <w:p>
      <w:pPr>
        <w:pStyle w:val="BodyText"/>
      </w:pPr>
      <w:r>
        <w:t xml:space="preserve">Sources only correspond to those implementing manual reference via PID. They are thus biased to a handful of publishers which have invested in this effort. Coverage of research domains is largely incomplete and not consistent.</w:t>
      </w:r>
    </w:p>
    <w:p>
      <w:pPr>
        <w:pStyle w:val="BodyText"/>
      </w:pPr>
      <w:r>
        <w:t xml:space="preserve">The method for generating the indicators is not documented, beyond an indication that it relies on</w:t>
      </w:r>
      <w:r>
        <w:t xml:space="preserve"> </w:t>
      </w:r>
      <w:r>
        <w:t xml:space="preserve">“</w:t>
      </w:r>
      <w:r>
        <w:t xml:space="preserve">PID graph</w:t>
      </w:r>
      <w:r>
        <w:t xml:space="preserve">”</w:t>
      </w:r>
      <w:r>
        <w:t xml:space="preserve">. As such, it illustrates the limit of an approach relaying on PID and manual referencing for research data and software, but overall lacks transparency.</w:t>
      </w:r>
    </w:p>
    <w:bookmarkEnd w:id="24"/>
    <w:bookmarkStart w:id="25" w:name="plos-open-science-indicators"/>
    <w:p>
      <w:pPr>
        <w:pStyle w:val="Heading3"/>
      </w:pPr>
      <w:r>
        <w:t xml:space="preserve">PLOS Open Science indicators</w:t>
      </w:r>
    </w:p>
    <w:p>
      <w:pPr>
        <w:pStyle w:val="FirstParagraph"/>
      </w:pPr>
      <w:r>
        <w:t xml:space="preserve">This work relies on DataSeer text mining tools.</w:t>
      </w:r>
    </w:p>
    <w:bookmarkEnd w:id="25"/>
    <w:bookmarkEnd w:id="26"/>
    <w:bookmarkEnd w:id="27"/>
    <w:bookmarkStart w:id="67" w:name="method"/>
    <w:p>
      <w:pPr>
        <w:pStyle w:val="Heading1"/>
      </w:pPr>
      <w:r>
        <w:t xml:space="preserve">2. Method</w:t>
      </w:r>
    </w:p>
    <w:bookmarkStart w:id="28" w:name="X3581deca8a3e6e484d32f69b0ec2f165865ace4"/>
    <w:p>
      <w:pPr>
        <w:pStyle w:val="Heading2"/>
      </w:pPr>
      <w:r>
        <w:t xml:space="preserve">2.1 Machine Learning for mention detection and characterization</w:t>
      </w:r>
    </w:p>
    <w:p>
      <w:pPr>
        <w:pStyle w:val="FirstParagraph"/>
      </w:pPr>
      <w:r>
        <w:t xml:space="preserve">As discussed in the previous section, PID and metadata driven approach related to data and software cannot lead currently to realistic evaluations and indicators due to very low adoptions and lack of awareness. In contrast, automatic recognition of dataset and software mentions from the full texts offers potentially a factual and comprehensive approach, directly usable to estimate quantitatively these research activities.</w:t>
      </w:r>
    </w:p>
    <w:p>
      <w:pPr>
        <w:pStyle w:val="BodyText"/>
      </w:pPr>
      <w:r>
        <w:t xml:space="preserve">We think that mining dataset and software mentions in scientific publications can provide solutions for most of the quality criteria for indicators introduced in section:</w:t>
      </w:r>
    </w:p>
    <w:p>
      <w:pPr>
        <w:numPr>
          <w:ilvl w:val="0"/>
          <w:numId w:val="1003"/>
        </w:numPr>
      </w:pPr>
      <w:r>
        <w:t xml:space="preserve">In term of</w:t>
      </w:r>
      <w:r>
        <w:t xml:space="preserve"> </w:t>
      </w:r>
      <w:r>
        <w:rPr>
          <w:b/>
        </w:rPr>
        <w:t xml:space="preserve">coverage and freshness</w:t>
      </w:r>
      <w:r>
        <w:t xml:space="preserve">, a corpus of scientific publication can offer a trustful snapshot of the scientific production if the text mining is applied to a very significant amount of scientific publications. With a ratio of Open Access publication today of more than 50% and copyright exception for text mining for subscription-based publications, harvesting legally a large corpus close to completeness is realistic.</w:t>
      </w:r>
    </w:p>
    <w:p>
      <w:pPr>
        <w:numPr>
          <w:ilvl w:val="0"/>
          <w:numId w:val="1003"/>
        </w:numPr>
      </w:pPr>
      <w:r>
        <w:t xml:space="preserve">The</w:t>
      </w:r>
      <w:r>
        <w:t xml:space="preserve"> </w:t>
      </w:r>
      <w:r>
        <w:rPr>
          <w:b/>
        </w:rPr>
        <w:t xml:space="preserve">accuracy</w:t>
      </w:r>
      <w:r>
        <w:t xml:space="preserve"> </w:t>
      </w:r>
      <w:r>
        <w:t xml:space="preserve">of modern machine learning techniques, in particular based on Deep Learning architecture, has improved significantly when enough training data is available. Large scale datasets of manually annotated software and datasets mentions have been released recently, and we can expect reaching a satisfactory accuracy when taking advantage of these latest progress.</w:t>
      </w:r>
    </w:p>
    <w:p>
      <w:pPr>
        <w:numPr>
          <w:ilvl w:val="0"/>
          <w:numId w:val="1003"/>
        </w:numPr>
      </w:pPr>
      <w:r>
        <w:t xml:space="preserve">The</w:t>
      </w:r>
      <w:r>
        <w:t xml:space="preserve"> </w:t>
      </w:r>
      <w:r>
        <w:rPr>
          <w:b/>
        </w:rPr>
        <w:t xml:space="preserve">adaptibility</w:t>
      </w:r>
      <w:r>
        <w:t xml:space="preserve"> </w:t>
      </w:r>
      <w:r>
        <w:t xml:space="preserve">to different geographical and organizational levels and different scientific and technical domains have already been addressed with high reliability at the level of publication in the previous version of the French Open Access Monitor [reference needed]</w:t>
      </w:r>
    </w:p>
    <w:p>
      <w:pPr>
        <w:numPr>
          <w:ilvl w:val="0"/>
          <w:numId w:val="1003"/>
        </w:numPr>
      </w:pPr>
      <w:r>
        <w:t xml:space="preserve">With respect to</w:t>
      </w:r>
      <w:r>
        <w:t xml:space="preserve"> </w:t>
      </w:r>
      <w:r>
        <w:rPr>
          <w:b/>
        </w:rPr>
        <w:t xml:space="preserve">fairness</w:t>
      </w:r>
      <w:r>
        <w:t xml:space="preserve">, the systematic application of text mining on a comprehensive corpus can cover research domains where awareness of metadata and PID referencing is very low, because online access to full-texts publications is today a universal practice, avoiding their exclusions.</w:t>
      </w:r>
    </w:p>
    <w:p>
      <w:pPr>
        <w:numPr>
          <w:ilvl w:val="0"/>
          <w:numId w:val="1003"/>
        </w:numPr>
      </w:pPr>
      <w:r>
        <w:t xml:space="preserve">Understandability and interpretability:</w:t>
      </w:r>
    </w:p>
    <w:p>
      <w:pPr>
        <w:numPr>
          <w:ilvl w:val="0"/>
          <w:numId w:val="1003"/>
        </w:numPr>
      </w:pPr>
      <w:r>
        <w:t xml:space="preserve">Consistency: an automated text mining solution can be re-applied to a full corpus regularly, including back files, and produces consistent indicators over any periods. The process is independent from manual referencing of research data and software that could happen to already published articles, from publishers and from types of publications.</w:t>
      </w:r>
    </w:p>
    <w:p>
      <w:pPr>
        <w:numPr>
          <w:ilvl w:val="0"/>
          <w:numId w:val="1003"/>
        </w:numPr>
      </w:pPr>
      <w:r>
        <w:t xml:space="preserve">Independence and trustfulness: …</w:t>
      </w:r>
    </w:p>
    <w:p>
      <w:pPr>
        <w:pStyle w:val="FirstParagraph"/>
      </w:pPr>
      <w:r>
        <w:t xml:space="preserve">The first text-mining approaches related to capturing openness information on data and software have been rule-based techniques. We discuss in the next section their different limitations, and more particularly the case of ODDPub, the best representive system for this approach.</w:t>
      </w:r>
    </w:p>
    <w:bookmarkEnd w:id="28"/>
    <w:bookmarkStart w:id="35" w:name="limitation-of-rule-based-tools"/>
    <w:p>
      <w:pPr>
        <w:pStyle w:val="Heading2"/>
      </w:pPr>
      <w:r>
        <w:t xml:space="preserve">2.1 Limitation of rule-based tools</w:t>
      </w:r>
    </w:p>
    <w:p>
      <w:pPr>
        <w:pStyle w:val="FirstParagraph"/>
      </w:pPr>
      <w:r>
        <w:t xml:space="preserve">In the context of Open Science and bibliometrics, some pattern matching tools have been developed to capture statements about data and software openness in a given corpus. For example,</w:t>
      </w:r>
      <w:r>
        <w:t xml:space="preserve"> </w:t>
      </w:r>
      <w:r>
        <w:t xml:space="preserve">(Larregue, Julien, Vincent-Lamarre, Philippe, Lebaron, Frédéric and Larivière, Vincent 2020)</w:t>
      </w:r>
      <w:r>
        <w:t xml:space="preserve"> </w:t>
      </w:r>
      <w:r>
        <w:t xml:space="preserve">uses some keyword matching applied in data availability statements to obtain an approximation of the data availability status for 7,394 COVID-19 articles deposited on medRxiv. We know that data sharing statements are, to a very large extend, not limited to data availability statements</w:t>
      </w:r>
      <w:r>
        <w:t xml:space="preserve"> </w:t>
      </w:r>
      <w:r>
        <w:t xml:space="preserve">(Park, You, and Wolfram 2018)</w:t>
      </w:r>
      <w:r>
        <w:t xml:space="preserve">, that COVID-19 articles are not representative of general data sharing practices and that keyword matching is not a state of the art automation techniques at the time of Deep Learning. Such works can be seen as one shot exercices for reporting interesting results in a limited scope, but not as methods that can be generalized and re-used for mining data usage in full texts.</w:t>
      </w:r>
    </w:p>
    <w:p>
      <w:pPr>
        <w:pStyle w:val="BodyText"/>
      </w:pPr>
      <w:r>
        <w:t xml:space="preserve">As a more general purpose tool, ODDPub</w:t>
      </w:r>
      <w:r>
        <w:t xml:space="preserve"> </w:t>
      </w:r>
      <w:r>
        <w:t xml:space="preserve">(Riedel, Kip, and Bobrov 2020)</w:t>
      </w:r>
      <w:r>
        <w:t xml:space="preserve"> </w:t>
      </w:r>
      <w:r>
        <w:t xml:space="preserve">has been developed to detect open data statements in full texts and applied at scale to 2.75 million articles on PubMed Central XML publications</w:t>
      </w:r>
      <w:r>
        <w:t xml:space="preserve"> </w:t>
      </w:r>
      <w:r>
        <w:t xml:space="preserve">(Serghiou S, Contopoulos-Ioannidis DG, Boyack KW, Riedel N, Wallach JD, Ioannidis JPA 2021)</w:t>
      </w:r>
      <w:r>
        <w:t xml:space="preserve">. It implements a rule-based approach for capturing open data statement patterns. ODDPub gives then global information about openess of data and software used in a document. The rules have been developed for biomedical literature. However, we think ODDPub has fundamental limitations for the production of data and code Open Science indicators and these limitation can be generalized to the other similar pattern matching tools:</w:t>
      </w:r>
    </w:p>
    <w:p>
      <w:pPr>
        <w:numPr>
          <w:ilvl w:val="0"/>
          <w:numId w:val="1004"/>
        </w:numPr>
      </w:pPr>
      <w:r>
        <w:t xml:space="preserve">ODDPub produces information about</w:t>
      </w:r>
      <w:r>
        <w:t xml:space="preserve"> </w:t>
      </w:r>
      <w:r>
        <w:rPr>
          <w:b/>
        </w:rPr>
        <w:t xml:space="preserve">openness statements</w:t>
      </w:r>
      <w:r>
        <w:t xml:space="preserve"> </w:t>
      </w:r>
      <w:r>
        <w:t xml:space="preserve">related to data and software used in the work described in a publication, but does not produce more fine-grained information about their re-use, creation and sharing. It is then not possible to estimate the volume of novel data and code and their relative openness. In particular, it makes impossible to estimate the key ratio of created data and software openly shared, which is the measurement that Open Science policies need to monitor and maximize.</w:t>
      </w:r>
    </w:p>
    <w:p>
      <w:pPr>
        <w:numPr>
          <w:ilvl w:val="0"/>
          <w:numId w:val="1004"/>
        </w:numPr>
      </w:pPr>
      <w:r>
        <w:t xml:space="preserve">The usage of mainstream Open Source software, scientific databases and datasets are not always associated to openness statements in research publications. To some extend, by focusing on openness statements, ODDPub captures information about the citation practices (e.g. on the requirement of specifying how to access openly available data and software) rather than information associated to all datasets and software.</w:t>
      </w:r>
    </w:p>
    <w:p>
      <w:pPr>
        <w:numPr>
          <w:ilvl w:val="0"/>
          <w:numId w:val="1005"/>
        </w:numPr>
      </w:pPr>
      <w:r>
        <w:t xml:space="preserve">Rule-based approaches are useful when no training data is available or when transparency for auditing error is relevant, but they are technically outdated. They perform with lower accuracy and portability to other domains that modern machine learning when quality training data is available</w:t>
      </w:r>
      <w:r>
        <w:t xml:space="preserve"> </w:t>
      </w:r>
      <w:r>
        <w:t xml:space="preserve">(Chiticariu et al. 2010)</w:t>
      </w:r>
      <w:r>
        <w:t xml:space="preserve"> </w:t>
      </w:r>
      <w:r>
        <w:t xml:space="preserve">(Trienes et al. 2020)</w:t>
      </w:r>
      <w:r>
        <w:t xml:space="preserve">. Thanks to recent development efforts, such quality training data exist today for software and dataset mentions</w:t>
      </w:r>
      <w:r>
        <w:t xml:space="preserve"> </w:t>
      </w:r>
      <w:r>
        <w:t xml:space="preserve">(Du et al. 2021)</w:t>
      </w:r>
      <w:r>
        <w:t xml:space="preserve"> </w:t>
      </w:r>
      <w:r>
        <w:t xml:space="preserve">(Schindler et al. 2021)</w:t>
      </w:r>
      <w:r>
        <w:t xml:space="preserve">.</w:t>
      </w:r>
    </w:p>
    <w:p>
      <w:pPr>
        <w:numPr>
          <w:ilvl w:val="0"/>
          <w:numId w:val="1005"/>
        </w:numPr>
      </w:pPr>
      <w:r>
        <w:t xml:space="preserve">Reported F1-score are 0.73 for data openness recognition and 0.64 for code openness recognition at document level. As indicated in</w:t>
      </w:r>
      <w:r>
        <w:t xml:space="preserve"> </w:t>
      </w:r>
      <w:r>
        <w:t xml:space="preserve">(Lafia, Fan, and Hemphill 2022)</w:t>
      </w:r>
      <w:r>
        <w:t xml:space="preserve">, performance metrics for the open code detection are unreliable because of a lack of data for significant evaluation (open code in the evaluation data was found in 11 publications</w:t>
      </w:r>
      <w:r>
        <w:rPr>
          <w:rStyle w:val="FootnoteReference"/>
        </w:rPr>
        <w:footnoteReference w:id="29"/>
      </w:r>
      <w:r>
        <w:t xml:space="preserve">). Overall, we think the reported accuracies are challenging for fully automated text mining at scale and to provide confidence in the produced data.</w:t>
      </w:r>
    </w:p>
    <w:p>
      <w:pPr>
        <w:numPr>
          <w:ilvl w:val="0"/>
          <w:numId w:val="1005"/>
        </w:numPr>
      </w:pPr>
      <w:r>
        <w:t xml:space="preserve">ODDPub has often no clear distinction between code and data - including in the evaluation data of this tool. Data present on a GitHub repository for example will often be classified as open software (see below).</w:t>
      </w:r>
    </w:p>
    <w:p>
      <w:pPr>
        <w:numPr>
          <w:ilvl w:val="0"/>
          <w:numId w:val="1005"/>
        </w:numPr>
      </w:pPr>
      <w:r>
        <w:t xml:space="preserve">ODDPub produces global screening information about openness at document level, but the tool does not have the technical capacity to identify mentions (dataset and software names), nor to provide usable information at software and dataset levels (dataset and software attributes). We think that the level of complexity of the rules required to extract mentions and mention-level characterizations makes the approach very hard and time-consuming to extend to such recognitions (if doable).</w:t>
      </w:r>
    </w:p>
    <w:p>
      <w:pPr>
        <w:pStyle w:val="FirstParagraph"/>
      </w:pPr>
      <w:r>
        <w:t xml:space="preserve">Below, an example of an ODDPub dataset manually checked entry used for the development of the tool. This mismatch between data and code openness statements is actually quite frequent in the validation dataset of ODDPub, up to 40% for</w:t>
      </w:r>
      <w:r>
        <w:t xml:space="preserve"> </w:t>
      </w:r>
      <w:r>
        <w:t xml:space="preserve">“</w:t>
      </w:r>
      <w:r>
        <w:t xml:space="preserve">code</w:t>
      </w:r>
      <w:r>
        <w:t xml:space="preserve">”</w:t>
      </w:r>
      <w:r>
        <w:t xml:space="preserve"> </w:t>
      </w:r>
      <w:r>
        <w:t xml:space="preserve">following our manual screening.</w:t>
      </w:r>
    </w:p>
    <w:p>
      <w:pPr>
        <w:pStyle w:val="SourceCode"/>
      </w:pPr>
      <w:r>
        <w:rPr>
          <w:rStyle w:val="VerbatimChar"/>
        </w:rPr>
        <w:t xml:space="preserve">doi,manual_open_data,manual_open_code,oddpub_open_data,oddpub_open_code,</w:t>
      </w:r>
      <w:r>
        <w:br/>
      </w:r>
      <w:r>
        <w:rPr>
          <w:rStyle w:val="VerbatimChar"/>
        </w:rPr>
        <w:t xml:space="preserve">open_data_statements,open_code_statements</w:t>
      </w:r>
      <w:r>
        <w:br/>
      </w:r>
      <w:r>
        <w:rPr>
          <w:rStyle w:val="VerbatimChar"/>
        </w:rPr>
        <w:t xml:space="preserve">10.1080/2162402X.2018.1513440,FALSE,FALSE,FALSE,TRUE,,clinical information </w:t>
      </w:r>
      <w:r>
        <w:br/>
      </w:r>
      <w:r>
        <w:rPr>
          <w:rStyle w:val="VerbatimChar"/>
        </w:rPr>
        <w:t xml:space="preserve">for this dataset was downloaded from a supplement in the original publication.12 </w:t>
      </w:r>
      <w:r>
        <w:br/>
      </w:r>
      <w:r>
        <w:rPr>
          <w:rStyle w:val="VerbatimChar"/>
        </w:rPr>
        <w:t xml:space="preserve">processed gene expression data and clinical information for the anti-pd-l1 </w:t>
      </w:r>
      <w:r>
        <w:br/>
      </w:r>
      <w:r>
        <w:rPr>
          <w:rStyle w:val="VerbatimChar"/>
        </w:rPr>
        <w:t xml:space="preserve">dataset in urothelial carcinoma were downloaded from zenodo </w:t>
      </w:r>
      <w:r>
        <w:br/>
      </w:r>
      <w:r>
        <w:rPr>
          <w:rStyle w:val="VerbatimChar"/>
        </w:rPr>
        <w:t xml:space="preserve">(https://zenodo.org/record/546110) and github </w:t>
      </w:r>
      <w:r>
        <w:br/>
      </w:r>
      <w:r>
        <w:rPr>
          <w:rStyle w:val="VerbatimChar"/>
        </w:rPr>
        <w:t xml:space="preserve">(https://github.com/hammerlab/multi-omic-urothe lial-anti-pdl1) respectively.</w:t>
      </w:r>
    </w:p>
    <w:p>
      <w:pPr>
        <w:pStyle w:val="FirstParagraph"/>
      </w:pPr>
      <w:r>
        <w:t xml:space="preserve">Rather than estimating in a binary manner at document-level the openness of data or code, we think that focusing on mention detections and characterizing every mentions in a document also in terms of creation and sharing can provide more interpretable and useful information to study the evolution of Open Science in general for these research results.</w:t>
      </w:r>
    </w:p>
    <w:p>
      <w:pPr>
        <w:pStyle w:val="BodyText"/>
      </w:pPr>
      <w:r>
        <w:t xml:space="preserve">In addition, recognizing dataset and software entities make possible indicators centered not only on documents, but also on global production of research dataset and software and reuse. By recognizing and reporting data and software reuse among a large corpus of publications over time, researchers could receive credit and acknowledgement for the impact of their datasets and software. Such credits can be strong incentive for researchers to open their data and software, as well as improving their quality and support over time.</w:t>
      </w:r>
    </w:p>
    <w:bookmarkStart w:id="30" w:name="Xf9a68d5a9db00ed26252256346e7af4858100fd"/>
    <w:p>
      <w:pPr>
        <w:pStyle w:val="Heading3"/>
      </w:pPr>
      <w:r>
        <w:t xml:space="preserve">2.2 Machine Learning for mention detection and characterization</w:t>
      </w:r>
    </w:p>
    <w:p>
      <w:pPr>
        <w:pStyle w:val="FirstParagraph"/>
      </w:pPr>
      <w:r>
        <w:t xml:space="preserve">The automatic recognition approach raises different key challenges that are necessary to tackle and evaluate rigourously for a valid application:</w:t>
      </w:r>
    </w:p>
    <w:p>
      <w:pPr>
        <w:numPr>
          <w:ilvl w:val="0"/>
          <w:numId w:val="1006"/>
        </w:numPr>
        <w:pStyle w:val="Compact"/>
      </w:pPr>
      <w:r>
        <w:t xml:space="preserve">Processing PDF as input for ensuring coverage, freshness and fairness</w:t>
      </w:r>
    </w:p>
    <w:p>
      <w:pPr>
        <w:numPr>
          <w:ilvl w:val="0"/>
          <w:numId w:val="1006"/>
        </w:numPr>
        <w:pStyle w:val="Compact"/>
      </w:pPr>
      <w:r>
        <w:t xml:space="preserve">Accuracy and sparsity to address accuracy and trustfulness</w:t>
      </w:r>
    </w:p>
    <w:p>
      <w:pPr>
        <w:numPr>
          <w:ilvl w:val="0"/>
          <w:numId w:val="1006"/>
        </w:numPr>
        <w:pStyle w:val="Compact"/>
      </w:pPr>
      <w:r>
        <w:t xml:space="preserve">Robustness, speed and production-level technical capacities for supporting freshness, consistency and accuracy requirements</w:t>
      </w:r>
    </w:p>
    <w:p>
      <w:pPr>
        <w:pStyle w:val="FirstParagraph"/>
      </w:pPr>
      <w:r>
        <w:t xml:space="preserve">We discuss these three points in the next sections.</w:t>
      </w:r>
    </w:p>
    <w:bookmarkEnd w:id="30"/>
    <w:bookmarkStart w:id="32" w:name="processing-pdf-as-input"/>
    <w:p>
      <w:pPr>
        <w:pStyle w:val="Heading3"/>
      </w:pPr>
      <w:r>
        <w:t xml:space="preserve">Processing PDF as input</w:t>
      </w:r>
    </w:p>
    <w:p>
      <w:pPr>
        <w:pStyle w:val="FirstParagraph"/>
      </w:pPr>
      <w:r>
        <w:t xml:space="preserve">To perform text mining on scientific articles, we cannot assume the availability of clean and structured text. The most widespread and easily available scientific publication format is raw PDF, a presentation-oriented format that destroys the semantics and the original structure of data, introducing noise in text encoding and text order stream. This format raises major issues for text mining applications, both in terms of significant source of errors and technical feasibility</w:t>
      </w:r>
      <w:r>
        <w:t xml:space="preserve"> </w:t>
      </w:r>
      <w:r>
        <w:t xml:space="preserve">(Westergaard et al. 2017)</w:t>
      </w:r>
      <w:r>
        <w:t xml:space="preserve">.</w:t>
      </w:r>
      <w:r>
        <w:rPr>
          <w:rStyle w:val="FootnoteReference"/>
        </w:rPr>
        <w:footnoteReference w:id="31"/>
      </w:r>
    </w:p>
    <w:p>
      <w:pPr>
        <w:pStyle w:val="BodyText"/>
      </w:pPr>
      <w:r>
        <w:t xml:space="preserve">Often presented as an alternative, publishers’ structured XML including the text body, such as JATS, is text-mining friendly, but they have limited availability:</w:t>
      </w:r>
    </w:p>
    <w:p>
      <w:pPr>
        <w:numPr>
          <w:ilvl w:val="0"/>
          <w:numId w:val="1007"/>
        </w:numPr>
      </w:pPr>
      <w:r>
        <w:t xml:space="preserve">decades of back files are only available in PDF.</w:t>
      </w:r>
    </w:p>
    <w:p>
      <w:pPr>
        <w:numPr>
          <w:ilvl w:val="0"/>
          <w:numId w:val="1007"/>
        </w:numPr>
      </w:pPr>
      <w:r>
        <w:t xml:space="preserve">producing accurate XML encoding of scientific articles is costly, many small and medium publishers, as well as the academic conference publishers, do not have the resources today to produce XML formats beyond PDF.</w:t>
      </w:r>
    </w:p>
    <w:p>
      <w:pPr>
        <w:numPr>
          <w:ilvl w:val="0"/>
          <w:numId w:val="1007"/>
        </w:numPr>
      </w:pPr>
      <w:r>
        <w:t xml:space="preserve">regarding recent publications, which are critical for developing Open Science indicators, a large amount are available early only in PDF format, archived in pre-print archives. The future avaibility of XML is uncertain (e.g. for conference proceedings) and introduces a delay to the normal avaibility of a research work to the public.</w:t>
      </w:r>
    </w:p>
    <w:p>
      <w:pPr>
        <w:numPr>
          <w:ilvl w:val="0"/>
          <w:numId w:val="1007"/>
        </w:numPr>
      </w:pPr>
      <w:r>
        <w:t xml:space="preserve">Open Access fulltexts are a major source of data for text mining, but they are also usually available publicly only in PDF, because accessing possible XML formats requires additional API service from publishers, often subscription-based - in other terms, the fulltexts are</w:t>
      </w:r>
      <w:r>
        <w:t xml:space="preserve"> </w:t>
      </w:r>
      <w:r>
        <w:t xml:space="preserve">“</w:t>
      </w:r>
      <w:r>
        <w:t xml:space="preserve">Open</w:t>
      </w:r>
      <w:r>
        <w:t xml:space="preserve">”</w:t>
      </w:r>
      <w:r>
        <w:t xml:space="preserve"> </w:t>
      </w:r>
      <w:r>
        <w:t xml:space="preserve">only in the PDF format.</w:t>
      </w:r>
    </w:p>
    <w:p>
      <w:pPr>
        <w:numPr>
          <w:ilvl w:val="0"/>
          <w:numId w:val="1007"/>
        </w:numPr>
      </w:pPr>
      <w:r>
        <w:t xml:space="preserve">For closed access fulltexts, publisher XML full-text API, when they exist, supposes additional complex and time-consuming commercial agreements and specific data ingestion methods to be developed, monitor and maintain over time. These additional works have to be realized publisher by publisher. In general, processing only XML would create a strong dependency on commercial publishers, it would biased indicators toward mainstream publishers and it would add problematic delay.</w:t>
      </w:r>
    </w:p>
    <w:p>
      <w:pPr>
        <w:pStyle w:val="FirstParagraph"/>
      </w:pPr>
      <w:r>
        <w:t xml:space="preserve">Even when available, XML full-texts are in a variety of different native publisher XML formats, often incomplete and inconsistent from one to another, difficult to use at scale. Thus, supporting PDF by using a layout aware parsing and conversion tool appeared very early as a key requirement for any scalable scientific text mining task task.</w:t>
      </w:r>
    </w:p>
    <w:p>
      <w:pPr>
        <w:pStyle w:val="BodyText"/>
      </w:pPr>
      <w:r>
        <w:t xml:space="preserve">We rely on GROBID (https://github.com/kermitt2/grobid) for parsing, extracting, and structuring the content of scientific articles in PDF, but also to drive the entity recognition in relevant sections. This tool provides in particular clean text paragraphs, solving issues like character encoding, character composition, hyphenation, reading order, identification of reference markers, footnotes, headnotes, tables and figures, which improve any subsequent text mining process. In addition, we use GROBID to parse bibliographical references and to identify citation contexts in the text body associated to dataset and citation mentions.</w:t>
      </w:r>
    </w:p>
    <w:p>
      <w:pPr>
        <w:pStyle w:val="BodyText"/>
      </w:pPr>
      <w:r>
        <w:t xml:space="preserve">GROBID is an open source library specialized for scholarly PDF implementing a cascade of ML models to mark up the structure of a document. The tool is used for this purpose by most of the large scientific information service providers such as ResearchGate, Academia.edu, Semantic Scholar, CORE, HAL, etc. and by large-scale citation services, for example scite.ai.</w:t>
      </w:r>
    </w:p>
    <w:bookmarkEnd w:id="32"/>
    <w:bookmarkStart w:id="33" w:name="accuracy-and-sparsity"/>
    <w:p>
      <w:pPr>
        <w:pStyle w:val="Heading3"/>
      </w:pPr>
      <w:r>
        <w:t xml:space="preserve">Accuracy and sparsity</w:t>
      </w:r>
    </w:p>
    <w:p>
      <w:pPr>
        <w:pStyle w:val="FirstParagraph"/>
      </w:pPr>
      <w:r>
        <w:t xml:space="preserve">Accuracy of the recognition of software and dataset mentions from within scholar fulltext is challenging first due to the high sparsity of these mentions.</w:t>
      </w:r>
    </w:p>
    <w:p>
      <w:pPr>
        <w:pStyle w:val="BodyText"/>
      </w:pPr>
      <w:r>
        <w:t xml:space="preserve">Considerintg the Softcite dataset, the 4,971 full-texts contain a total of around 46 million tokens, but only 15,280 tokens are relevant to a software mention; so around one token would be positively labeled for each 3,000</w:t>
      </w:r>
      <w:r>
        <w:t xml:space="preserve"> </w:t>
      </w:r>
      <w:r>
        <w:t xml:space="preserve">“</w:t>
      </w:r>
      <w:r>
        <w:t xml:space="preserve">negative</w:t>
      </w:r>
      <w:r>
        <w:t xml:space="preserve">”</w:t>
      </w:r>
      <w:r>
        <w:t xml:space="preserve"> </w:t>
      </w:r>
      <w:r>
        <w:t xml:space="preserve">tokens, with a ratio as low as one token per 17,500 tokens for</w:t>
      </w:r>
      <w:r>
        <w:t xml:space="preserve"> </w:t>
      </w:r>
      <w:r>
        <w:rPr>
          <w:i/>
        </w:rPr>
        <w:t xml:space="preserve">publishers</w:t>
      </w:r>
      <w:r>
        <w:t xml:space="preserve"> </w:t>
      </w:r>
      <w:r>
        <w:t xml:space="preserve">and</w:t>
      </w:r>
      <w:r>
        <w:t xml:space="preserve"> </w:t>
      </w:r>
      <w:r>
        <w:rPr>
          <w:i/>
        </w:rPr>
        <w:t xml:space="preserve">URL</w:t>
      </w:r>
      <w:r>
        <w:t xml:space="preserve"> </w:t>
      </w:r>
      <w:r>
        <w:t xml:space="preserve">fields. An Imbalance Ratio value above 500 is usually already considered to be extreme</w:t>
      </w:r>
      <w:r>
        <w:t xml:space="preserve"> </w:t>
      </w:r>
      <w:r>
        <w:t xml:space="preserve">(Lee and Deleris 2020)</w:t>
      </w:r>
      <w:r>
        <w:t xml:space="preserve">. With the higher observed Imbalance Ratio here, from 1:3,000 to 1:17,500, an ML approach to finding new unseen software mentions is very challenging.</w:t>
      </w:r>
    </w:p>
    <w:p>
      <w:pPr>
        <w:pStyle w:val="BodyText"/>
      </w:pPr>
      <w:r>
        <w:t xml:space="preserve">We need to address the concrete challenge of applying state-of-the-art ML methods to millions of published PDFs across different scientific domains, where dataset and software mentions represent only a few relevant tokens out of several thousands in every document.</w:t>
      </w:r>
    </w:p>
    <w:bookmarkEnd w:id="33"/>
    <w:bookmarkStart w:id="34" w:name="X754dcd5c6e5f7128e555e3d7f58326deb977f62"/>
    <w:p>
      <w:pPr>
        <w:pStyle w:val="Heading3"/>
      </w:pPr>
      <w:r>
        <w:t xml:space="preserve">Robustness, speed and production-level capacities</w:t>
      </w:r>
    </w:p>
    <w:p>
      <w:pPr>
        <w:pStyle w:val="FirstParagraph"/>
      </w:pPr>
      <w:r>
        <w:t xml:space="preserve">The following technical constraints need to be covered:</w:t>
      </w:r>
    </w:p>
    <w:p>
      <w:pPr>
        <w:numPr>
          <w:ilvl w:val="0"/>
          <w:numId w:val="1008"/>
        </w:numPr>
        <w:pStyle w:val="Compact"/>
      </w:pPr>
      <w:r>
        <w:t xml:space="preserve">scaling to more than 1 million PDF</w:t>
      </w:r>
    </w:p>
    <w:p>
      <w:pPr>
        <w:numPr>
          <w:ilvl w:val="0"/>
          <w:numId w:val="1008"/>
        </w:numPr>
        <w:pStyle w:val="Compact"/>
      </w:pPr>
      <w:r>
        <w:t xml:space="preserve">repeatable processing every year for the complete corpus</w:t>
      </w:r>
    </w:p>
    <w:p>
      <w:pPr>
        <w:numPr>
          <w:ilvl w:val="0"/>
          <w:numId w:val="1008"/>
        </w:numPr>
        <w:pStyle w:val="Compact"/>
      </w:pPr>
      <w:r>
        <w:t xml:space="preserve">robust to avoid service failure, in particular in case of ill-formed PDF</w:t>
      </w:r>
    </w:p>
    <w:p>
      <w:pPr>
        <w:numPr>
          <w:ilvl w:val="0"/>
          <w:numId w:val="1008"/>
        </w:numPr>
        <w:pStyle w:val="Compact"/>
      </w:pPr>
      <w:r>
        <w:t xml:space="preserve">fully automated process for a Kubernetes cloud deployment</w:t>
      </w:r>
    </w:p>
    <w:bookmarkEnd w:id="34"/>
    <w:bookmarkEnd w:id="35"/>
    <w:bookmarkStart w:id="48" w:name="research-software"/>
    <w:p>
      <w:pPr>
        <w:pStyle w:val="Heading2"/>
      </w:pPr>
      <w:r>
        <w:t xml:space="preserve">2.2 Research software</w:t>
      </w:r>
    </w:p>
    <w:p>
      <w:pPr>
        <w:pStyle w:val="FirstParagraph"/>
      </w:pPr>
      <w:r>
        <w:t xml:space="preserve">Automatic recognition of software mentions has attracted a lot of interest in parallel with the development of research software citation advocacy in the last decade.</w:t>
      </w:r>
      <w:r>
        <w:t xml:space="preserve"> </w:t>
      </w:r>
      <w:r>
        <w:t xml:space="preserve">(Krüger and Schindler 2020)</w:t>
      </w:r>
      <w:r>
        <w:t xml:space="preserve"> </w:t>
      </w:r>
      <w:r>
        <w:t xml:space="preserve">presents these first approaches, based mainly on gazetteers and rules. Machine Learning promises significantly higher accuracy and coverage, but appeared however first limited by the lack of manually annotated training data necessary for reliable models - the largest public dataset until 2020 being limited to only 85 annotated documents. With the development of large annotated gold corpus, the Softcite dataset</w:t>
      </w:r>
      <w:r>
        <w:t xml:space="preserve"> </w:t>
      </w:r>
      <w:r>
        <w:t xml:space="preserve">(Du et al. 2021)</w:t>
      </w:r>
      <w:r>
        <w:t xml:space="preserve">, 4,971 articles in Life Sciences and Economics (4,093 software mentions), and the SoMeSci dataset</w:t>
      </w:r>
      <w:r>
        <w:t xml:space="preserve"> </w:t>
      </w:r>
      <w:r>
        <w:t xml:space="preserve">(Schindler et al. 2021)</w:t>
      </w:r>
      <w:r>
        <w:t xml:space="preserve">, 1,367 articles in Life Sciences (3,756 software mentions), Deep Learning approaches have been recently possible for this task.</w:t>
      </w:r>
    </w:p>
    <w:bookmarkStart w:id="36" w:name="prior-work"/>
    <w:p>
      <w:pPr>
        <w:pStyle w:val="Heading3"/>
      </w:pPr>
      <w:r>
        <w:t xml:space="preserve">Prior work</w:t>
      </w:r>
    </w:p>
    <w:p>
      <w:pPr>
        <w:pStyle w:val="FirstParagraph"/>
      </w:pPr>
      <w:r>
        <w:t xml:space="preserve">To our knowledge, three systems have used modern Deep Learning techniques and the recent large annotated gold corpus for software mention recognition.</w:t>
      </w:r>
      <w:r>
        <w:t xml:space="preserve"> </w:t>
      </w:r>
      <w:r>
        <w:t xml:space="preserve">(Lopez et al. 2021)</w:t>
      </w:r>
      <w:r>
        <w:t xml:space="preserve">,</w:t>
      </w:r>
      <w:r>
        <w:t xml:space="preserve"> </w:t>
      </w:r>
      <w:r>
        <w:t xml:space="preserve">(David et al. n.d.)</w:t>
      </w:r>
      <w:r>
        <w:t xml:space="preserve"> </w:t>
      </w:r>
      <w:r>
        <w:t xml:space="preserve">and</w:t>
      </w:r>
      <w:r>
        <w:t xml:space="preserve"> </w:t>
      </w:r>
      <w:r>
        <w:t xml:space="preserve">(Istrate et al. 2022)</w:t>
      </w:r>
      <w:r>
        <w:t xml:space="preserve"> </w:t>
      </w:r>
      <w:r>
        <w:t xml:space="preserve">all using fine-tuned SciBERT models</w:t>
      </w:r>
      <w:r>
        <w:t xml:space="preserve"> </w:t>
      </w:r>
      <w:r>
        <w:t xml:space="preserve">(Beltagy, Lo, and Cohan 2019)</w:t>
      </w:r>
      <w:r>
        <w:t xml:space="preserve">.</w:t>
      </w:r>
    </w:p>
    <w:p>
      <w:pPr>
        <w:pStyle w:val="BodyText"/>
      </w:pPr>
      <w:r>
        <w:t xml:space="preserve">(Lopez et al. 2021)</w:t>
      </w:r>
      <w:r>
        <w:t xml:space="preserve"> </w:t>
      </w:r>
      <w:r>
        <w:t xml:space="preserve">is the earliest published system and was developed in parallel with the Softcite dataset development. The system includes a variety of models trained with the Softcite dataset using sampling techniques to augment the dataset with negative examples to mitiguate the problem of mention sparsity. The best model is a SciBERT model, with a CRF activation layer, fine-tuned with the positive examples of the Softcite dataset and additional negative examples selected with a new technique called active sampling. The training set uses a 1:20 ratio (20 paragraphs without annotations for one paragraph with at least one annotation). With the Softcite dataset, it corresponds to around 2000 positive paragraphs and 40K negative paragraphs.</w:t>
      </w:r>
      <w:r>
        <w:t xml:space="preserve"> </w:t>
      </w:r>
      <w:r>
        <w:t xml:space="preserve">The model has been evaluated on full paper content for 20% of the annotated articles. Additional entity disambiguation is used to filter out false positives and document-level mention propagation is used to increase recall.</w:t>
      </w:r>
    </w:p>
    <w:p>
      <w:pPr>
        <w:pStyle w:val="BodyText"/>
      </w:pPr>
      <w:r>
        <w:t xml:space="preserve">(David et al. n.d.)</w:t>
      </w:r>
      <w:r>
        <w:t xml:space="preserve"> </w:t>
      </w:r>
      <w:r>
        <w:t xml:space="preserve">is trained with the SoMeSci dataset</w:t>
      </w:r>
      <w:r>
        <w:t xml:space="preserve"> </w:t>
      </w:r>
      <w:r>
        <w:t xml:space="preserve">(Schindler et al. 2021)</w:t>
      </w:r>
      <w:r>
        <w:t xml:space="preserve">, which is smaller and limited to Life Sciences, but has a more comprehensive set of annotations than</w:t>
      </w:r>
      <w:r>
        <w:t xml:space="preserve"> </w:t>
      </w:r>
      <w:r>
        <w:t xml:space="preserve">(Du et al. 2021)</w:t>
      </w:r>
      <w:r>
        <w:t xml:space="preserve">, including relationships between mentioned software.</w:t>
      </w:r>
      <w:r>
        <w:t xml:space="preserve"> </w:t>
      </w:r>
      <w:r>
        <w:t xml:space="preserve">The model uses a more complex architecture to also predict these relationships.</w:t>
      </w:r>
      <w:r>
        <w:t xml:space="preserve"> </w:t>
      </w:r>
      <w:r>
        <w:t xml:space="preserve">Training is realized with the annotated corpus, which include only the positive sentences (sentence with at least one software mention) for 787 PLoS articles, method sections for 480 PLoS articles (a total of around 3,200 paragraphs) and complete content for 100 articles. The distribution of software mentions is thus significantly oversampled as compared to the actual distribution. The system supports JATS XML documents as input.</w:t>
      </w:r>
    </w:p>
    <w:p>
      <w:pPr>
        <w:pStyle w:val="BodyText"/>
      </w:pPr>
      <w:r>
        <w:t xml:space="preserve">(Istrate et al. 2022)</w:t>
      </w:r>
      <w:r>
        <w:t xml:space="preserve"> </w:t>
      </w:r>
      <w:r>
        <w:t xml:space="preserve">is the latest published system, but also the simplest, with a more limited scope. It is a SciBERT model fine-tuned with the Softcite dataset</w:t>
      </w:r>
      <w:r>
        <w:t xml:space="preserve"> </w:t>
      </w:r>
      <w:r>
        <w:t xml:space="preserve">(Du et al. 2021)</w:t>
      </w:r>
      <w:r>
        <w:t xml:space="preserve">. The trained model used software name and version information and does not cover the other annotated attributes available in the dataset (url, publisher). The model is trained only on the training examples of the dataset, which are all positive paragraph examples (the paragraphs with at least one software mention). The model can then be used in a pipeline starting from XML documents as input, relying on GNU parallel command line.</w:t>
      </w:r>
    </w:p>
    <w:bookmarkEnd w:id="36"/>
    <w:bookmarkStart w:id="39" w:name="X166eca5fe98000cb5b108f7a05c3fbfd1eb3c19"/>
    <w:p>
      <w:pPr>
        <w:pStyle w:val="Heading3"/>
      </w:pPr>
      <w:r>
        <w:t xml:space="preserve">Comparing model predictions with real mention destributions</w:t>
      </w:r>
    </w:p>
    <w:p>
      <w:pPr>
        <w:pStyle w:val="FirstParagraph"/>
      </w:pPr>
      <w:r>
        <w:t xml:space="preserve">The accuracy and sparsity aspect is important to stress for comparing these tools. Both</w:t>
      </w:r>
      <w:r>
        <w:t xml:space="preserve"> </w:t>
      </w:r>
      <w:r>
        <w:t xml:space="preserve">(David et al. n.d.)</w:t>
      </w:r>
      <w:r>
        <w:t xml:space="preserve"> </w:t>
      </w:r>
      <w:r>
        <w:t xml:space="preserve">and</w:t>
      </w:r>
      <w:r>
        <w:t xml:space="preserve"> </w:t>
      </w:r>
      <w:r>
        <w:t xml:space="preserve">(Istrate et al. 2022)</w:t>
      </w:r>
      <w:r>
        <w:t xml:space="preserve"> </w:t>
      </w:r>
      <w:r>
        <w:t xml:space="preserve">were trained and evaluated with the annotated corpus. While software mentions are extremely sparse in actual scholar full texts, they are represented in almost every sentences/paragraphs in these training data, which lead to model unrealistic ratio of software mentions if used as such. The models tend then to predict software in most sentences/paragraphs, leading to a very high amount of false positives. As these models also report evaluation scores produced on partitions of these annotated data, the reported evaluations present similarly unrealistic figures. The invalid evaluation of a model for an unbalanced classification problem after sampling the training data is a known issue discussed in</w:t>
      </w:r>
      <w:r>
        <w:t xml:space="preserve"> </w:t>
      </w:r>
      <w:r>
        <w:t xml:space="preserve">(Vandewiele et al. 2021)</w:t>
      </w:r>
      <w:r>
        <w:t xml:space="preserve">.</w:t>
      </w:r>
    </w:p>
    <w:tbl>
      <w:tblPr>
        <w:tblStyle w:val="Table"/>
        <w:tblW w:type="pct" w:w="5000.0"/>
        <w:tblLook w:firstRow="1" w:lastRow="0" w:firstColumn="0" w:lastColumn="0" w:noHBand="0" w:noVBand="0"/>
      </w:tblPr>
      <w:tblGrid>
        <w:gridCol w:w="1697"/>
        <w:gridCol w:w="1697"/>
        <w:gridCol w:w="1697"/>
        <w:gridCol w:w="1697"/>
        <w:gridCol w:w="1131"/>
      </w:tblGrid>
      <w:tr>
        <w:trPr>
          <w:cnfStyle w:firstRow="1"/>
        </w:trPr>
        <w:tc>
          <w:tcPr>
            <w:tcBorders>
              <w:bottom w:val="single"/>
            </w:tcBorders>
            <w:vAlign w:val="bottom"/>
          </w:tcPr>
          <w:p>
            <w:pPr>
              <w:pStyle w:val="Compact"/>
              <w:jc w:val="left"/>
            </w:pPr>
            <w:r>
              <w:t xml:space="preserve">Software mention recognizer</w:t>
            </w:r>
          </w:p>
        </w:tc>
        <w:tc>
          <w:tcPr>
            <w:tcBorders>
              <w:bottom w:val="single"/>
            </w:tcBorders>
            <w:vAlign w:val="bottom"/>
          </w:tcPr>
          <w:p>
            <w:pPr>
              <w:pStyle w:val="Compact"/>
              <w:jc w:val="left"/>
            </w:pPr>
            <w:r>
              <w:t xml:space="preserve">reported F1-score on annotated corpus in publication</w:t>
            </w:r>
          </w:p>
        </w:tc>
        <w:tc>
          <w:tcPr>
            <w:tcBorders>
              <w:bottom w:val="single"/>
            </w:tcBorders>
            <w:vAlign w:val="bottom"/>
          </w:tcPr>
          <w:p>
            <w:pPr>
              <w:pStyle w:val="Compact"/>
              <w:jc w:val="left"/>
            </w:pPr>
            <w:r>
              <w:t xml:space="preserve">F-1 score on annotated corpus, reproduced</w:t>
            </w:r>
          </w:p>
        </w:tc>
        <w:tc>
          <w:tcPr>
            <w:tcBorders>
              <w:bottom w:val="single"/>
            </w:tcBorders>
            <w:vAlign w:val="bottom"/>
          </w:tcPr>
          <w:p>
            <w:pPr>
              <w:pStyle w:val="Compact"/>
              <w:jc w:val="left"/>
            </w:pPr>
            <w:r>
              <w:rPr>
                <w:b/>
              </w:rPr>
              <w:t xml:space="preserve">F1-score on holdout set</w:t>
            </w:r>
            <w:r>
              <w:t xml:space="preserve"> </w:t>
            </w:r>
            <w:r>
              <w:t xml:space="preserve">(full article content)</w:t>
            </w:r>
          </w:p>
        </w:tc>
        <w:tc>
          <w:tcPr>
            <w:tcBorders>
              <w:bottom w:val="single"/>
            </w:tcBorders>
            <w:vAlign w:val="bottom"/>
          </w:tcPr>
          <w:p>
            <w:pPr>
              <w:pStyle w:val="Compact"/>
              <w:jc w:val="left"/>
            </w:pPr>
            <w:r>
              <w:t xml:space="preserve">Note</w:t>
            </w:r>
          </w:p>
        </w:tc>
      </w:tr>
      <w:tr>
        <w:tc>
          <w:p>
            <w:pPr>
              <w:pStyle w:val="Compact"/>
              <w:jc w:val="left"/>
            </w:pPr>
            <w:r>
              <w:t xml:space="preserve">CZI recognizer</w:t>
            </w:r>
            <w:r>
              <w:t xml:space="preserve"> </w:t>
            </w:r>
            <w:r>
              <w:t xml:space="preserve">(Istrate et al. 2022)</w:t>
            </w:r>
          </w:p>
        </w:tc>
        <w:tc>
          <w:p>
            <w:pPr>
              <w:pStyle w:val="Compact"/>
              <w:jc w:val="left"/>
            </w:pPr>
            <w:r>
              <w:t xml:space="preserve">92.0</w:t>
            </w:r>
          </w:p>
        </w:tc>
        <w:tc>
          <w:p>
            <w:pPr>
              <w:pStyle w:val="Compact"/>
              <w:jc w:val="left"/>
            </w:pPr>
            <w:r>
              <w:t xml:space="preserve">85.5</w:t>
            </w:r>
            <w:r>
              <w:rPr>
                <w:rStyle w:val="FootnoteReference"/>
              </w:rPr>
              <w:footnoteReference w:id="37"/>
            </w:r>
          </w:p>
        </w:tc>
        <w:tc>
          <w:p>
            <w:pPr>
              <w:pStyle w:val="Compact"/>
              <w:jc w:val="left"/>
            </w:pPr>
            <w:r>
              <w:rPr>
                <w:b/>
              </w:rPr>
              <w:t xml:space="preserve">56.3</w:t>
            </w:r>
          </w:p>
        </w:tc>
        <w:tc>
          <w:p>
            <w:pPr>
              <w:pStyle w:val="Compact"/>
              <w:jc w:val="left"/>
            </w:pPr>
            <w:r>
              <w:t xml:space="preserve">(software name and version only)</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SoMeSci recognizer</w:t>
            </w:r>
            <w:r>
              <w:t xml:space="preserve"> </w:t>
            </w:r>
            <w:r>
              <w:t xml:space="preserve">(David et al. n.d.)</w:t>
            </w:r>
          </w:p>
        </w:tc>
        <w:tc>
          <w:p>
            <w:pPr>
              <w:pStyle w:val="Compact"/>
              <w:jc w:val="left"/>
            </w:pPr>
            <w:r>
              <w:t xml:space="preserve">88.3</w:t>
            </w:r>
          </w:p>
        </w:tc>
        <w:tc>
          <w:p>
            <w:pPr>
              <w:pStyle w:val="Compact"/>
              <w:jc w:val="left"/>
            </w:pPr>
            <w:r>
              <w:t xml:space="preserve">84.0</w:t>
            </w:r>
            <w:r>
              <w:rPr>
                <w:rStyle w:val="FootnoteReference"/>
              </w:rPr>
              <w:footnoteReference w:id="38"/>
            </w:r>
          </w:p>
        </w:tc>
        <w:tc>
          <w:p>
            <w:pPr>
              <w:pStyle w:val="Compact"/>
              <w:jc w:val="left"/>
            </w:pPr>
            <w:r>
              <w:rPr>
                <w:b/>
              </w:rPr>
              <w:t xml:space="preserve">62.4</w:t>
            </w:r>
          </w:p>
        </w:tc>
        <w:tc>
          <w:p>
            <w:pPr>
              <w:pStyle w:val="Compact"/>
              <w:jc w:val="left"/>
            </w:pPr>
            <w:r>
              <w:t xml:space="preserve">(</w:t>
            </w:r>
            <w:r>
              <w:t xml:space="preserve">“</w:t>
            </w:r>
            <w:r>
              <w:t xml:space="preserve">Application</w:t>
            </w:r>
            <w:r>
              <w:t xml:space="preserve">”</w:t>
            </w:r>
            <w:r>
              <w:t xml:space="preserve"> </w:t>
            </w:r>
            <w:r>
              <w:t xml:space="preserve">name only)</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Softcite recognizer</w:t>
            </w:r>
            <w:r>
              <w:t xml:space="preserve"> </w:t>
            </w:r>
            <w:r>
              <w:t xml:space="preserve">(Lopez et al. 2021)</w:t>
            </w:r>
            <w:r>
              <w:t xml:space="preserve"> </w:t>
            </w:r>
            <w:r>
              <w:t xml:space="preserve">(using around 40K negative sampling examples)</w:t>
            </w:r>
          </w:p>
        </w:tc>
        <w:tc>
          <w:p>
            <w:pPr>
              <w:pStyle w:val="Compact"/>
              <w:jc w:val="left"/>
            </w:pPr>
            <w:r>
              <w:t xml:space="preserve">-</w:t>
            </w:r>
          </w:p>
        </w:tc>
        <w:tc>
          <w:p>
            <w:pPr>
              <w:pStyle w:val="Compact"/>
              <w:jc w:val="left"/>
            </w:pPr>
            <w:r>
              <w:t xml:space="preserve">82.3</w:t>
            </w:r>
          </w:p>
        </w:tc>
        <w:tc>
          <w:p>
            <w:pPr>
              <w:pStyle w:val="Compact"/>
              <w:jc w:val="left"/>
            </w:pPr>
            <w:r>
              <w:rPr>
                <w:b/>
              </w:rPr>
              <w:t xml:space="preserve">79.1</w:t>
            </w:r>
          </w:p>
        </w:tc>
        <w:tc>
          <w:p>
            <w:pPr>
              <w:pStyle w:val="Compact"/>
              <w:jc w:val="left"/>
            </w:pPr>
            <w:r>
              <w:t xml:space="preserve">(software name, version, publisher, url)</w:t>
            </w:r>
          </w:p>
        </w:tc>
      </w:tr>
    </w:tbl>
    <w:p>
      <w:pPr>
        <w:pStyle w:val="BodyText"/>
      </w:pPr>
      <w:r>
        <w:t xml:space="preserve">Table [] illustrates the issue of training and predicting with very different mention distributions. We indicate reported scores based on cross-evaluation on the annotated corpus (all with over-sampling of mentions) in the first two columns. In the third column, we report realistic evaluation scores on the full content of a set of annotated documents (the softcite holdout set, 20% of the Softcite articles). This shows that a parser like</w:t>
      </w:r>
      <w:r>
        <w:t xml:space="preserve"> </w:t>
      </w:r>
      <w:r>
        <w:t xml:space="preserve">(Istrate et al. 2022)</w:t>
      </w:r>
      <w:r>
        <w:t xml:space="preserve"> </w:t>
      </w:r>
      <w:r>
        <w:t xml:space="preserve">trained on unrealistic over-sampled distributions will perform with much lower accuracy when applied to real full documents, producing a high rate of false positive. Similar observation applies to</w:t>
      </w:r>
      <w:r>
        <w:t xml:space="preserve"> </w:t>
      </w:r>
      <w:r>
        <w:t xml:space="preserve">(David et al. n.d.)</w:t>
      </w:r>
      <w:r>
        <w:t xml:space="preserve">, although some difference in the annotation guidelines of</w:t>
      </w:r>
      <w:r>
        <w:t xml:space="preserve"> </w:t>
      </w:r>
      <w:r>
        <w:t xml:space="preserve">“</w:t>
      </w:r>
      <w:r>
        <w:t xml:space="preserve">software names</w:t>
      </w:r>
      <w:r>
        <w:t xml:space="preserve">”</w:t>
      </w:r>
      <w:r>
        <w:t xml:space="preserve"> </w:t>
      </w:r>
      <w:r>
        <w:t xml:space="preserve">between the SoMeSci and Softcite datasets might also impact the matching accuracy.</w:t>
      </w:r>
    </w:p>
    <w:p>
      <w:pPr>
        <w:pStyle w:val="BodyText"/>
      </w:pPr>
      <w:r>
        <w:t xml:space="preserve">To further illustrate the impact of training and predicting software mentions on highly different distributions, Table [] shows the prediction rate of software mentions in comparison with the actual rate of software mentions in the manually annotated corpus.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Software mention recognizer</w:t>
            </w:r>
          </w:p>
        </w:tc>
        <w:tc>
          <w:tcPr>
            <w:tcBorders>
              <w:bottom w:val="single"/>
            </w:tcBorders>
            <w:vAlign w:val="bottom"/>
          </w:tcPr>
          <w:p>
            <w:pPr>
              <w:pStyle w:val="Compact"/>
              <w:jc w:val="left"/>
            </w:pPr>
            <w:r>
              <w:t xml:space="preserve">distribution in manually annotated training corpus</w:t>
            </w:r>
          </w:p>
        </w:tc>
        <w:tc>
          <w:tcPr>
            <w:tcBorders>
              <w:bottom w:val="single"/>
            </w:tcBorders>
            <w:vAlign w:val="bottom"/>
          </w:tcPr>
          <w:p>
            <w:pPr>
              <w:pStyle w:val="Compact"/>
              <w:jc w:val="left"/>
            </w:pPr>
            <w:r>
              <w:t xml:space="preserve">prediction rate per document</w:t>
            </w:r>
          </w:p>
        </w:tc>
      </w:tr>
      <w:tr>
        <w:tc>
          <w:p>
            <w:pPr>
              <w:pStyle w:val="Compact"/>
              <w:jc w:val="left"/>
            </w:pPr>
            <w:r>
              <w:t xml:space="preserve">CZI recognizer</w:t>
            </w:r>
            <w:r>
              <w:t xml:space="preserve"> </w:t>
            </w:r>
            <w:r>
              <w:t xml:space="preserve">(Istrate et al. 2022)</w:t>
            </w:r>
          </w:p>
        </w:tc>
        <w:tc>
          <w:p>
            <w:pPr>
              <w:pStyle w:val="Compact"/>
              <w:jc w:val="left"/>
            </w:pPr>
            <w:r>
              <w:t xml:space="preserve">Softcite: 4,093 software mentions in 4,971 doc.</w:t>
            </w:r>
            <w:r>
              <w:t xml:space="preserve"> </w:t>
            </w:r>
            <w:r>
              <w:rPr>
                <w:b/>
              </w:rPr>
              <w:t xml:space="preserve">0,82</w:t>
            </w:r>
          </w:p>
        </w:tc>
        <w:tc>
          <w:p>
            <w:pPr>
              <w:pStyle w:val="Compact"/>
              <w:jc w:val="left"/>
            </w:pPr>
            <w:r>
              <w:t xml:space="preserve">* CORD-19: 558,309 mentions in 77,448 doc.</w:t>
            </w:r>
            <w:r>
              <w:t xml:space="preserve"> </w:t>
            </w:r>
            <w:r>
              <w:rPr>
                <w:b/>
              </w:rPr>
              <w:t xml:space="preserve">7,20</w:t>
            </w:r>
          </w:p>
        </w:tc>
      </w:tr>
      <w:tr>
        <w:tc>
          <w:p/>
        </w:tc>
        <w:tc>
          <w:p>
            <w:pPr>
              <w:pStyle w:val="Compact"/>
              <w:jc w:val="left"/>
            </w:pPr>
            <w:r>
              <w:t xml:space="preserve">for PMC subset:</w:t>
            </w:r>
            <w:r>
              <w:t xml:space="preserve"> </w:t>
            </w:r>
            <w:r>
              <w:rPr>
                <w:b/>
              </w:rPr>
              <w:t xml:space="preserve">1,45</w:t>
            </w:r>
          </w:p>
        </w:tc>
        <w:tc>
          <w:p>
            <w:pPr>
              <w:pStyle w:val="Compact"/>
              <w:jc w:val="left"/>
            </w:pPr>
            <w:r>
              <w:t xml:space="preserve">* PMC: 14,770,209 mentions in 2,433,010 doc.</w:t>
            </w:r>
            <w:r>
              <w:t xml:space="preserve"> </w:t>
            </w:r>
            <w:r>
              <w:rPr>
                <w:b/>
              </w:rPr>
              <w:t xml:space="preserve">6,07</w:t>
            </w:r>
          </w:p>
        </w:tc>
      </w:tr>
      <w:tr>
        <w:tc>
          <w:p>
            <w:pPr>
              <w:pStyle w:val="Compact"/>
              <w:jc w:val="left"/>
            </w:pPr>
            <w:r>
              <w:t xml:space="preserve">SoMeSci recognizer</w:t>
            </w:r>
            <w:r>
              <w:t xml:space="preserve"> </w:t>
            </w:r>
            <w:r>
              <w:t xml:space="preserve">(David et al. n.d.)</w:t>
            </w:r>
          </w:p>
        </w:tc>
        <w:tc>
          <w:p>
            <w:pPr>
              <w:pStyle w:val="Compact"/>
              <w:jc w:val="left"/>
            </w:pPr>
            <w:r>
              <w:t xml:space="preserve">SoMeSci: 3,756 software mentions in 1,367 doc.</w:t>
            </w:r>
            <w:r>
              <w:t xml:space="preserve"> </w:t>
            </w:r>
            <w:r>
              <w:rPr>
                <w:b/>
              </w:rPr>
              <w:t xml:space="preserve">2,74</w:t>
            </w:r>
          </w:p>
        </w:tc>
        <w:tc>
          <w:p>
            <w:pPr>
              <w:pStyle w:val="Compact"/>
              <w:jc w:val="left"/>
            </w:pPr>
            <w:r>
              <w:t xml:space="preserve">* PMC: 11.8 M mentions in 3,215,386 doc.</w:t>
            </w:r>
            <w:r>
              <w:t xml:space="preserve"> </w:t>
            </w:r>
            <w:r>
              <w:rPr>
                <w:b/>
              </w:rPr>
              <w:t xml:space="preserve">3.67</w:t>
            </w:r>
          </w:p>
        </w:tc>
      </w:tr>
      <w:tr>
        <w:tc>
          <w:p/>
        </w:tc>
        <w:tc>
          <w:p/>
        </w:tc>
        <w:tc>
          <w:p/>
        </w:tc>
      </w:tr>
      <w:tr>
        <w:tc>
          <w:p>
            <w:pPr>
              <w:pStyle w:val="Compact"/>
              <w:jc w:val="left"/>
            </w:pPr>
            <w:r>
              <w:t xml:space="preserve">Softcite recognizer</w:t>
            </w:r>
            <w:r>
              <w:t xml:space="preserve"> </w:t>
            </w:r>
            <w:r>
              <w:t xml:space="preserve">(Lopez et al. 2021)</w:t>
            </w:r>
          </w:p>
        </w:tc>
        <w:tc>
          <w:p>
            <w:pPr>
              <w:pStyle w:val="Compact"/>
              <w:jc w:val="left"/>
            </w:pPr>
            <w:r>
              <w:t xml:space="preserve">Softcite: 4,093 software mentions in 4,971 doc.</w:t>
            </w:r>
            <w:r>
              <w:t xml:space="preserve"> </w:t>
            </w:r>
            <w:r>
              <w:rPr>
                <w:b/>
              </w:rPr>
              <w:t xml:space="preserve">0,82</w:t>
            </w:r>
          </w:p>
        </w:tc>
        <w:tc>
          <w:p>
            <w:pPr>
              <w:pStyle w:val="Compact"/>
              <w:jc w:val="left"/>
            </w:pPr>
            <w:r>
              <w:t xml:space="preserve">* CORD-19: 652,518 mentions in 296,686 doc.</w:t>
            </w:r>
            <w:r>
              <w:t xml:space="preserve"> </w:t>
            </w:r>
            <w:r>
              <w:rPr>
                <w:b/>
              </w:rPr>
              <w:t xml:space="preserve">2,19</w:t>
            </w:r>
          </w:p>
        </w:tc>
      </w:tr>
      <w:tr>
        <w:tc>
          <w:p/>
        </w:tc>
        <w:tc>
          <w:p>
            <w:pPr>
              <w:pStyle w:val="Compact"/>
              <w:jc w:val="left"/>
            </w:pPr>
            <w:r>
              <w:t xml:space="preserve">for PMC subset:</w:t>
            </w:r>
            <w:r>
              <w:t xml:space="preserve"> </w:t>
            </w:r>
            <w:r>
              <w:rPr>
                <w:b/>
              </w:rPr>
              <w:t xml:space="preserve">1,45</w:t>
            </w:r>
          </w:p>
        </w:tc>
        <w:tc>
          <w:p>
            <w:pPr>
              <w:pStyle w:val="Compact"/>
              <w:jc w:val="left"/>
            </w:pPr>
            <w:r>
              <w:t xml:space="preserve">* UPW random subset: 2.6M mentions in 2.5M doc.</w:t>
            </w:r>
            <w:r>
              <w:t xml:space="preserve"> </w:t>
            </w:r>
            <w:r>
              <w:rPr>
                <w:b/>
              </w:rPr>
              <w:t xml:space="preserve">1,04</w:t>
            </w:r>
          </w:p>
        </w:tc>
      </w:tr>
    </w:tbl>
    <w:p>
      <w:pPr>
        <w:pStyle w:val="BodyText"/>
      </w:pPr>
      <w:r>
        <w:t xml:space="preserve">PMC: PubMed Central, UPW: UnPayWall</w:t>
      </w:r>
    </w:p>
    <w:p>
      <w:pPr>
        <w:pStyle w:val="BodyText"/>
      </w:pPr>
      <w:r>
        <w:t xml:space="preserve">Note: In Softcite, half of the documents are in Life Science from PMC, the rest in Economy from UPW. The PMC subcollection mentions/document ratio is: 3639 mentions / 2500 documents = 1,45</w:t>
      </w:r>
    </w:p>
    <w:p>
      <w:pPr>
        <w:pStyle w:val="BodyText"/>
      </w:pPr>
      <w:r>
        <w:t xml:space="preserve">For</w:t>
      </w:r>
      <w:r>
        <w:t xml:space="preserve"> </w:t>
      </w:r>
      <w:r>
        <w:t xml:space="preserve">(Istrate et al. 2022)</w:t>
      </w:r>
      <w:r>
        <w:t xml:space="preserve">, the average number of software mentions predicted per document is significantly higher for these models than the actual average number in the annotated corpus (6,07 versus 0,82 for PMC), showing the impact of a high rate of false positives. For this reason, in</w:t>
      </w:r>
      <w:r>
        <w:t xml:space="preserve"> </w:t>
      </w:r>
      <w:r>
        <w:t xml:space="preserve">(Istrate et al. 2022)</w:t>
      </w:r>
      <w:r>
        <w:t xml:space="preserve">, manual corrections have been realized at very large scale on the extracted results.</w:t>
      </w:r>
    </w:p>
    <w:p>
      <w:pPr>
        <w:pStyle w:val="BodyText"/>
      </w:pPr>
      <w:r>
        <w:t xml:space="preserve">The average number of software mentions predicted per document for</w:t>
      </w:r>
      <w:r>
        <w:t xml:space="preserve"> </w:t>
      </w:r>
      <w:r>
        <w:t xml:space="preserve">(David et al. n.d.)</w:t>
      </w:r>
      <w:r>
        <w:t xml:space="preserve"> </w:t>
      </w:r>
      <w:r>
        <w:t xml:space="preserve">(3.67) is much closer to the distribution in the original annotated corpus (2,74). However the original distribution in the SoMeSci corpus is three times higher than the one of Softcite and around two times higher for the PMC sub-collection of Softcite. The SoMeSci corpus is over-representing software mentions due its constructions. SoMeSci reuses sections and sentences from PLOS via the SoSciSoCi corpus [], which have been assembled originally to contain many software mentions (with at least one software mentions for almost all documents). In SoMeSci, only the</w:t>
      </w:r>
      <w:r>
        <w:t xml:space="preserve"> </w:t>
      </w:r>
      <w:r>
        <w:rPr>
          <w:rStyle w:val="VerbatimChar"/>
        </w:rPr>
        <w:t xml:space="preserve">Pubmed_fulltext</w:t>
      </w:r>
      <w:r>
        <w:t xml:space="preserve"> </w:t>
      </w:r>
      <w:r>
        <w:t xml:space="preserve">sub-collection with 100 complete full texts exhibits a random and real distribution of software mentions, with 48% of documents without software mention.</w:t>
      </w:r>
    </w:p>
    <w:p>
      <w:pPr>
        <w:pStyle w:val="BodyText"/>
      </w:pPr>
      <w:r>
        <w:t xml:space="preserve">We can generally observe that recent papers have more software mentions. The extraction exercices on the CORD-19 corpus (publications in 2020 and 2021) show a higher rate of predicted software mentions. However PubMed Central covers the last 3 decades and should in average exhibit a software mention rate closer to the random PubMed Central subset of Softcite and SoMeSci, where around 50% of the publications have at least one software mentions and with an average mention rate per article around 1.5.</w:t>
      </w:r>
    </w:p>
    <w:p>
      <w:pPr>
        <w:pStyle w:val="BodyText"/>
      </w:pPr>
      <w:r>
        <w:t xml:space="preserve">To address false positives,</w:t>
      </w:r>
      <w:r>
        <w:t xml:space="preserve"> </w:t>
      </w:r>
      <w:r>
        <w:t xml:space="preserve">(Lopez et al. 2021)</w:t>
      </w:r>
      <w:r>
        <w:t xml:space="preserve"> </w:t>
      </w:r>
      <w:r>
        <w:t xml:space="preserve">has explored various sampling ratios and techniques to adapt the model to the actual extremely sparse distribution of mentions. Its model is trained with significantly more negative examples than the other works. The evaluations are performed against an holdout set built with the entire full text content of articles to capture a realistic distribution of mentions. The difference of accuracy with these sampling techniques on realistic input is significant (see Table []), which is reflected by the average number of mentions identified by documents of Table []. With F1-score around 80% on actual mention distribution, the results then do not require manual corrections for tasks which are robust enough to cope with some uncertainty, like statistical analysis, indicators or knowledge base construction.</w:t>
      </w:r>
    </w:p>
    <w:bookmarkEnd w:id="39"/>
    <w:bookmarkStart w:id="40" w:name="production-considerations"/>
    <w:p>
      <w:pPr>
        <w:pStyle w:val="Heading3"/>
      </w:pPr>
      <w:r>
        <w:t xml:space="preserve">Production considerations</w:t>
      </w:r>
    </w:p>
    <w:p>
      <w:pPr>
        <w:pStyle w:val="FirstParagraph"/>
      </w:pPr>
      <w:r>
        <w:t xml:space="preserve">The system of</w:t>
      </w:r>
      <w:r>
        <w:t xml:space="preserve"> </w:t>
      </w:r>
      <w:r>
        <w:t xml:space="preserve">(Lopez et al. 2021)</w:t>
      </w:r>
      <w:r>
        <w:t xml:space="preserve"> </w:t>
      </w:r>
      <w:r>
        <w:t xml:space="preserve">has the advantage of being integrated with GROBID to allow processing of PDF, while the other tools work with XML full text inputs and would require further development to support PDF parsing and structuring.</w:t>
      </w:r>
    </w:p>
    <w:p>
      <w:pPr>
        <w:pStyle w:val="BodyText"/>
      </w:pPr>
      <w:r>
        <w:t xml:space="preserve">The Softcite software mention recognizer includes production-ready releases, in particular docker image, REST API service and python client for parallel processing, which make it ready to deploy in the existing cloud-based BSO infrastructure and service pipeline. The system also includes a web GUI console for the service that display annotations on PDF for easy visual inspection.</w:t>
      </w:r>
    </w:p>
    <w:p>
      <w:pPr>
        <w:pStyle w:val="BodyText"/>
      </w:pPr>
      <w:r>
        <w:t xml:space="preserve">We therefore choosed to extend the system of</w:t>
      </w:r>
      <w:r>
        <w:t xml:space="preserve"> </w:t>
      </w:r>
      <w:r>
        <w:t xml:space="preserve">(Lopez et al. 2021)</w:t>
      </w:r>
      <w:r>
        <w:t xml:space="preserve"> </w:t>
      </w:r>
      <w:r>
        <w:t xml:space="preserve">for the production of the French Open Science indicators, considering its accuracy, the support of PDF and its engineering maturity. Improvements to the system developed in this work includes: a new extended and enriched Softcite corpus, refinement of software types and relationships, automatic caraterization of mention context in term of usage/creation/sharing and improvement of models using LinkBERT fine-tuning</w:t>
      </w:r>
      <w:r>
        <w:t xml:space="preserve"> </w:t>
      </w:r>
      <w:r>
        <w:t xml:space="preserve">(Yasunaga, Leskovec, and Liang 2022)</w:t>
      </w:r>
      <w:r>
        <w:t xml:space="preserve">.</w:t>
      </w:r>
    </w:p>
    <w:bookmarkEnd w:id="40"/>
    <w:bookmarkStart w:id="44" w:name="data-model-and-training-data"/>
    <w:p>
      <w:pPr>
        <w:pStyle w:val="Heading3"/>
      </w:pPr>
      <w:r>
        <w:t xml:space="preserve">Data model and training data</w:t>
      </w:r>
    </w:p>
    <w:bookmarkStart w:id="41" w:name="definition"/>
    <w:p>
      <w:pPr>
        <w:pStyle w:val="Heading4"/>
      </w:pPr>
      <w:r>
        <w:t xml:space="preserve">Definition</w:t>
      </w:r>
    </w:p>
    <w:p>
      <w:pPr>
        <w:pStyle w:val="FirstParagraph"/>
      </w:pPr>
      <w:r>
        <w:t xml:space="preserve">A</w:t>
      </w:r>
      <w:r>
        <w:t xml:space="preserve"> </w:t>
      </w:r>
      <w:r>
        <w:t xml:space="preserve">“</w:t>
      </w:r>
      <w:r>
        <w:t xml:space="preserve">software</w:t>
      </w:r>
      <w:r>
        <w:t xml:space="preserve">”</w:t>
      </w:r>
      <w:r>
        <w:t xml:space="preserve"> </w:t>
      </w:r>
      <w:r>
        <w:t xml:space="preserve">entity can be define as</w:t>
      </w:r>
      <w:r>
        <w:t xml:space="preserve"> </w:t>
      </w:r>
      <w:r>
        <w:t xml:space="preserve">“</w:t>
      </w:r>
      <w:r>
        <w:t xml:space="preserve">a collection of computer programs that provides the instructions for telling a computer what to do and how to do it</w:t>
      </w:r>
      <w:r>
        <w:t xml:space="preserve">”</w:t>
      </w:r>
      <w:r>
        <w:t xml:space="preserve"> </w:t>
      </w:r>
      <w:r>
        <w:t xml:space="preserve">(Wikipedia). For the present work, we rely first on already existing annotation guidelines and try to follow consensus on the definition of</w:t>
      </w:r>
      <w:r>
        <w:t xml:space="preserve"> </w:t>
      </w:r>
      <w:r>
        <w:t xml:space="preserve">“</w:t>
      </w:r>
      <w:r>
        <w:t xml:space="preserve">software</w:t>
      </w:r>
      <w:r>
        <w:t xml:space="preserve">”</w:t>
      </w:r>
      <w:r>
        <w:t xml:space="preserve">. We consider as software: programs, packages, scripts, plug-ins, workflow scripts, API, OS, programming environments, macros and embedded software. We exclude databases, models (simulation, machine learning), algorithms/methods, programming languages and file formats.</w:t>
      </w:r>
    </w:p>
    <w:p>
      <w:pPr>
        <w:pStyle w:val="BodyText"/>
      </w:pPr>
      <w:r>
        <w:t xml:space="preserve">Mentions are however often ambiguous. For example, it is quite frequent that the name of an algorithm and its implementation (as software) are used in papers in an interchangeable manner. The mention to all these entities should be interpreted in context, checking for instance if the statement refers to the software implementation of an algorithm. Similarly, mentions to devices, databases, models, etc. require to check in context if the mention actually refers to the software part of these entities or not.</w:t>
      </w:r>
    </w:p>
    <w:p>
      <w:pPr>
        <w:pStyle w:val="BodyText"/>
      </w:pPr>
      <w:r>
        <w:t xml:space="preserve">When describing a software, information about its programming language and running OS are considered as attributes of the software, and not software</w:t>
      </w:r>
      <w:r>
        <w:t xml:space="preserve"> </w:t>
      </w:r>
      <w:r>
        <w:rPr>
          <w:i/>
        </w:rPr>
        <w:t xml:space="preserve">per se</w:t>
      </w:r>
      <w:r>
        <w:t xml:space="preserve">. However, when the language name is used to refer to a programming environment (compiler, libraries, notebook, etc. which are software) and not just to a</w:t>
      </w:r>
      <w:r>
        <w:t xml:space="preserve"> </w:t>
      </w:r>
      <w:r>
        <w:t xml:space="preserve">“</w:t>
      </w:r>
      <w:r>
        <w:t xml:space="preserve">grammar for expressing instructions</w:t>
      </w:r>
      <w:r>
        <w:t xml:space="preserve">”</w:t>
      </w:r>
      <w:r>
        <w:t xml:space="preserve"> </w:t>
      </w:r>
      <w:r>
        <w:t xml:space="preserve">or when the OS is discussed, we annotate these mentions as software.</w:t>
      </w:r>
    </w:p>
    <w:p>
      <w:pPr>
        <w:pStyle w:val="BodyText"/>
      </w:pPr>
      <w:r>
        <w:t xml:space="preserve">For a more detailed discussion and more examples, see https://github.com/Barometre-de-la-Science-Ouverte/bso3-techdoc/blob/master/doc/scope_and_sharing.md</w:t>
      </w:r>
    </w:p>
    <w:p>
      <w:pPr>
        <w:pStyle w:val="BodyText"/>
      </w:pPr>
      <w:r>
        <w:t xml:space="preserve">A software mention contains at least a software substantive, which could be a proper name or an implicit name like</w:t>
      </w:r>
      <w:r>
        <w:t xml:space="preserve"> </w:t>
      </w:r>
      <w:r>
        <w:rPr>
          <w:i/>
        </w:rPr>
        <w:t xml:space="preserve">script</w:t>
      </w:r>
      <w:r>
        <w:t xml:space="preserve">,</w:t>
      </w:r>
      <w:r>
        <w:t xml:space="preserve"> </w:t>
      </w:r>
      <w:r>
        <w:rPr>
          <w:i/>
        </w:rPr>
        <w:t xml:space="preserve">program</w:t>
      </w:r>
      <w:r>
        <w:t xml:space="preserve">, etc., and optional attributes: a URL, a publisher (organization or individual which publishes the software), a version, a programming language and one or several bibliographical references.</w:t>
      </w:r>
    </w:p>
    <w:p>
      <w:pPr>
        <w:pStyle w:val="BodyText"/>
      </w:pPr>
      <w:r>
        <w:t xml:space="preserve">In order to characterize software contributions in research papers, we need to identify precisely the created software parts. For example when a script is developed and should be run in a particular environment, we distinguish the script as one software component distinct from its software environment. For this, we introduce a typing for software mention:</w:t>
      </w:r>
    </w:p>
    <w:p>
      <w:pPr>
        <w:numPr>
          <w:ilvl w:val="0"/>
          <w:numId w:val="1009"/>
        </w:numPr>
      </w:pPr>
      <w:r>
        <w:rPr>
          <w:b/>
        </w:rPr>
        <w:t xml:space="preserve">standalone software</w:t>
      </w:r>
      <w:r>
        <w:t xml:space="preserve">: a software expressed in the mention context without dependency to another software and which does not require code</w:t>
      </w:r>
    </w:p>
    <w:p>
      <w:pPr>
        <w:numPr>
          <w:ilvl w:val="0"/>
          <w:numId w:val="1009"/>
        </w:numPr>
      </w:pPr>
      <w:r>
        <w:rPr>
          <w:b/>
        </w:rPr>
        <w:t xml:space="preserve">software environment</w:t>
      </w:r>
      <w:r>
        <w:t xml:space="preserve">: a software requiring some code/scripts to realize the research task, expressed in the mention context with or without dependency to another software</w:t>
      </w:r>
    </w:p>
    <w:p>
      <w:pPr>
        <w:numPr>
          <w:ilvl w:val="0"/>
          <w:numId w:val="1009"/>
        </w:numPr>
      </w:pPr>
      <w:r>
        <w:rPr>
          <w:b/>
        </w:rPr>
        <w:t xml:space="preserve">named software component</w:t>
      </w:r>
      <w:r>
        <w:t xml:space="preserve">: a named software depending on another software environment to run, the software environment being expressed in the mention context</w:t>
      </w:r>
    </w:p>
    <w:p>
      <w:pPr>
        <w:numPr>
          <w:ilvl w:val="0"/>
          <w:numId w:val="1009"/>
        </w:numPr>
      </w:pPr>
      <w:r>
        <w:rPr>
          <w:b/>
        </w:rPr>
        <w:t xml:space="preserve">implicit software component</w:t>
      </w:r>
      <w:r>
        <w:t xml:space="preserve">: an unnamed software depending on another software environment to run, the software environment being expressed in the mention context, and where the software refering expression is a generic term for program. such as program, code, script, macro, package, library, etc.</w:t>
      </w:r>
    </w:p>
    <w:bookmarkEnd w:id="41"/>
    <w:bookmarkStart w:id="43" w:name="annotations"/>
    <w:p>
      <w:pPr>
        <w:pStyle w:val="Heading4"/>
      </w:pPr>
      <w:r>
        <w:t xml:space="preserve">Annotations</w:t>
      </w:r>
    </w:p>
    <w:p>
      <w:pPr>
        <w:pStyle w:val="FirstParagraph"/>
      </w:pPr>
      <w:r>
        <w:t xml:space="preserve">The Softcite dataset is encoded in TEI XML. For robustness, we did not use JATS XML content when available, the content of the articles is extracted from PDF with GROBID to follow the quality level of the expected input in PDF. While annotations are at sentence-level in SoMeSci, mentions are annotated at paragraph-level for two reasons: first to capture possible attributes and relations beyond the same sentence and second to keep the possibility to extend the input context to machine learning sequence labeling models. It was reported early that transformers like BERT applied to NER can perform better with extended contexts</w:t>
      </w:r>
      <w:r>
        <w:t xml:space="preserve"> </w:t>
      </w:r>
      <w:r>
        <w:t xml:space="preserve">(Devlin et al. 2018)</w:t>
      </w:r>
      <w:r>
        <w:t xml:space="preserve">.</w:t>
      </w:r>
    </w:p>
    <w:p>
      <w:pPr>
        <w:pStyle w:val="BodyText"/>
      </w:pPr>
      <w:r>
        <w:t xml:space="preserve">Mentioned standalone software with attributes are annotated as follow - here a software name (</w:t>
      </w:r>
      <w:r>
        <w:rPr>
          <w:i/>
        </w:rPr>
        <w:t xml:space="preserve">CRISPRFinder</w:t>
      </w:r>
      <w:r>
        <w:t xml:space="preserve">) and two attributes are attached to this named software, a version number and a URL:</w:t>
      </w:r>
    </w:p>
    <w:p>
      <w:pPr>
        <w:pStyle w:val="SourceCode"/>
      </w:pPr>
      <w:r>
        <w:rPr>
          <w:rStyle w:val="NormalTok"/>
        </w:rPr>
        <w:t xml:space="preserve"> </w:t>
      </w:r>
      <w:r>
        <w:rPr>
          <w:rStyle w:val="KeywordTok"/>
        </w:rPr>
        <w:t xml:space="preserve">&lt;rs</w:t>
      </w:r>
      <w:r>
        <w:rPr>
          <w:rStyle w:val="OtherTok"/>
        </w:rPr>
        <w:t xml:space="preserve"> resp=</w:t>
      </w:r>
      <w:r>
        <w:rPr>
          <w:rStyle w:val="StringTok"/>
        </w:rPr>
        <w:t xml:space="preserve">"#curator"</w:t>
      </w:r>
      <w:r>
        <w:rPr>
          <w:rStyle w:val="OtherTok"/>
        </w:rPr>
        <w:t xml:space="preserve"> type=</w:t>
      </w:r>
      <w:r>
        <w:rPr>
          <w:rStyle w:val="StringTok"/>
        </w:rPr>
        <w:t xml:space="preserve">"software"</w:t>
      </w:r>
      <w:r>
        <w:rPr>
          <w:rStyle w:val="OtherTok"/>
        </w:rPr>
        <w:t xml:space="preserve"> xml:id=</w:t>
      </w:r>
      <w:r>
        <w:rPr>
          <w:rStyle w:val="StringTok"/>
        </w:rPr>
        <w:t xml:space="preserve">"b308e79ccf-software-1"</w:t>
      </w:r>
      <w:r>
        <w:rPr>
          <w:rStyle w:val="KeywordTok"/>
        </w:rPr>
        <w:t xml:space="preserve">&gt;</w:t>
      </w:r>
      <w:r>
        <w:rPr>
          <w:rStyle w:val="NormalTok"/>
        </w:rPr>
        <w:t xml:space="preserve">CRISPRFinder</w:t>
      </w:r>
      <w:r>
        <w:rPr>
          <w:rStyle w:val="KeywordTok"/>
        </w:rPr>
        <w:t xml:space="preserve">&lt;/rs&gt;</w:t>
      </w:r>
      <w:r>
        <w:rPr>
          <w:rStyle w:val="NormalTok"/>
        </w:rPr>
        <w:t xml:space="preserve"> </w:t>
      </w:r>
      <w:r>
        <w:br/>
      </w:r>
      <w:r>
        <w:rPr>
          <w:rStyle w:val="NormalTok"/>
        </w:rPr>
        <w:t xml:space="preserve"> version </w:t>
      </w:r>
      <w:r>
        <w:rPr>
          <w:rStyle w:val="KeywordTok"/>
        </w:rPr>
        <w:t xml:space="preserve">&lt;rs</w:t>
      </w:r>
      <w:r>
        <w:rPr>
          <w:rStyle w:val="OtherTok"/>
        </w:rPr>
        <w:t xml:space="preserve"> corresp=</w:t>
      </w:r>
      <w:r>
        <w:rPr>
          <w:rStyle w:val="StringTok"/>
        </w:rPr>
        <w:t xml:space="preserve">"#b308e79ccf-software-1"</w:t>
      </w:r>
      <w:r>
        <w:rPr>
          <w:rStyle w:val="OtherTok"/>
        </w:rPr>
        <w:t xml:space="preserve"> resp=</w:t>
      </w:r>
      <w:r>
        <w:rPr>
          <w:rStyle w:val="StringTok"/>
        </w:rPr>
        <w:t xml:space="preserve">"#curator"</w:t>
      </w:r>
      <w:r>
        <w:rPr>
          <w:rStyle w:val="OtherTok"/>
        </w:rPr>
        <w:t xml:space="preserve"> type=</w:t>
      </w:r>
      <w:r>
        <w:rPr>
          <w:rStyle w:val="StringTok"/>
        </w:rPr>
        <w:t xml:space="preserve">"version"</w:t>
      </w:r>
      <w:r>
        <w:rPr>
          <w:rStyle w:val="KeywordTok"/>
        </w:rPr>
        <w:t xml:space="preserve">&gt;</w:t>
      </w:r>
      <w:r>
        <w:rPr>
          <w:rStyle w:val="NormalTok"/>
        </w:rPr>
        <w:t xml:space="preserve">1.0</w:t>
      </w:r>
      <w:r>
        <w:rPr>
          <w:rStyle w:val="KeywordTok"/>
        </w:rPr>
        <w:t xml:space="preserve">&lt;/rs&gt;</w:t>
      </w:r>
      <w:r>
        <w:rPr>
          <w:rStyle w:val="NormalTok"/>
        </w:rPr>
        <w:t xml:space="preserve"> </w:t>
      </w:r>
      <w:r>
        <w:br/>
      </w:r>
      <w:r>
        <w:rPr>
          <w:rStyle w:val="NormalTok"/>
        </w:rPr>
        <w:t xml:space="preserve"> is freely accessible at </w:t>
      </w:r>
      <w:r>
        <w:rPr>
          <w:rStyle w:val="KeywordTok"/>
        </w:rPr>
        <w:t xml:space="preserve">&lt;rs</w:t>
      </w:r>
      <w:r>
        <w:rPr>
          <w:rStyle w:val="OtherTok"/>
        </w:rPr>
        <w:t xml:space="preserve"> corresp=</w:t>
      </w:r>
      <w:r>
        <w:rPr>
          <w:rStyle w:val="StringTok"/>
        </w:rPr>
        <w:t xml:space="preserve">"#b308e79ccf-software-1"</w:t>
      </w:r>
      <w:r>
        <w:rPr>
          <w:rStyle w:val="OtherTok"/>
        </w:rPr>
        <w:t xml:space="preserve"> resp=</w:t>
      </w:r>
      <w:r>
        <w:rPr>
          <w:rStyle w:val="StringTok"/>
        </w:rPr>
        <w:t xml:space="preserve">"#curator"</w:t>
      </w:r>
      <w:r>
        <w:rPr>
          <w:rStyle w:val="NormalTok"/>
        </w:rPr>
        <w:t xml:space="preserve"> </w:t>
      </w:r>
      <w:r>
        <w:br/>
      </w:r>
      <w:r>
        <w:rPr>
          <w:rStyle w:val="OtherTok"/>
        </w:rPr>
        <w:t xml:space="preserve"> type=</w:t>
      </w:r>
      <w:r>
        <w:rPr>
          <w:rStyle w:val="StringTok"/>
        </w:rPr>
        <w:t xml:space="preserve">"url"</w:t>
      </w:r>
      <w:r>
        <w:rPr>
          <w:rStyle w:val="KeywordTok"/>
        </w:rPr>
        <w:t xml:space="preserve">&gt;</w:t>
      </w:r>
      <w:r>
        <w:rPr>
          <w:rStyle w:val="NormalTok"/>
        </w:rPr>
        <w:t xml:space="preserve">http://crispr.u-psud.fr/Server/ CRISPRfinder.php</w:t>
      </w:r>
      <w:r>
        <w:rPr>
          <w:rStyle w:val="KeywordTok"/>
        </w:rPr>
        <w:t xml:space="preserve">&lt;/rs&gt;</w:t>
      </w:r>
      <w:r>
        <w:rPr>
          <w:rStyle w:val="NormalTok"/>
        </w:rPr>
        <w:t xml:space="preserve">.</w:t>
      </w:r>
    </w:p>
    <w:p>
      <w:pPr>
        <w:pStyle w:val="FirstParagraph"/>
      </w:pPr>
      <w:r>
        <w:t xml:space="preserve">In the first version of the Softcite dataset, software mentions were all encoded as standalone software with the above pattern. To produce indicators on software and code sharing assocated to research works, we need to distinguish the created software part from larger software environment or more implicit software. We thus extended the annotations for refining the description of the software mentions as follow.</w:t>
      </w:r>
    </w:p>
    <w:p>
      <w:pPr>
        <w:pStyle w:val="BodyText"/>
      </w:pPr>
      <w:r>
        <w:t xml:space="preserve">In case the software is an environment that suppose that some scripts exist to realize a particular task, we note the software with the attribute</w:t>
      </w:r>
      <w:r>
        <w:t xml:space="preserve"> </w:t>
      </w:r>
      <w:r>
        <w:rPr>
          <w:rStyle w:val="VerbatimChar"/>
        </w:rPr>
        <w:t xml:space="preserve">@subtype=environment</w:t>
      </w:r>
      <w:r>
        <w:t xml:space="preserve">. For example:</w:t>
      </w:r>
    </w:p>
    <w:p>
      <w:pPr>
        <w:pStyle w:val="SourceCode"/>
      </w:pPr>
      <w:r>
        <w:rPr>
          <w:rStyle w:val="NormalTok"/>
        </w:rPr>
        <w:t xml:space="preserve">We solve each firm's profit-maximization problem using a sequential quadratic </w:t>
      </w:r>
      <w:r>
        <w:br/>
      </w:r>
      <w:r>
        <w:rPr>
          <w:rStyle w:val="NormalTok"/>
        </w:rPr>
        <w:t xml:space="preserve">programming algorithm implemented in </w:t>
      </w:r>
      <w:r>
        <w:rPr>
          <w:rStyle w:val="KeywordTok"/>
        </w:rPr>
        <w:t xml:space="preserve">&lt;rs</w:t>
      </w:r>
      <w:r>
        <w:rPr>
          <w:rStyle w:val="OtherTok"/>
        </w:rPr>
        <w:t xml:space="preserve"> resp=</w:t>
      </w:r>
      <w:r>
        <w:rPr>
          <w:rStyle w:val="StringTok"/>
        </w:rPr>
        <w:t xml:space="preserve">"#annotator14"</w:t>
      </w:r>
      <w:r>
        <w:rPr>
          <w:rStyle w:val="OtherTok"/>
        </w:rPr>
        <w:t xml:space="preserve"> subtype=</w:t>
      </w:r>
      <w:r>
        <w:rPr>
          <w:rStyle w:val="StringTok"/>
        </w:rPr>
        <w:t xml:space="preserve">"environment"</w:t>
      </w:r>
      <w:r>
        <w:rPr>
          <w:rStyle w:val="NormalTok"/>
        </w:rPr>
        <w:t xml:space="preserve"> </w:t>
      </w:r>
      <w:r>
        <w:br/>
      </w:r>
      <w:r>
        <w:rPr>
          <w:rStyle w:val="OtherTok"/>
        </w:rPr>
        <w:t xml:space="preserve">type=</w:t>
      </w:r>
      <w:r>
        <w:rPr>
          <w:rStyle w:val="StringTok"/>
        </w:rPr>
        <w:t xml:space="preserve">"software"</w:t>
      </w:r>
      <w:r>
        <w:rPr>
          <w:rStyle w:val="OtherTok"/>
        </w:rPr>
        <w:t xml:space="preserve"> xml:id=</w:t>
      </w:r>
      <w:r>
        <w:rPr>
          <w:rStyle w:val="StringTok"/>
        </w:rPr>
        <w:t xml:space="preserve">"b4e3e280d1-software-1"</w:t>
      </w:r>
      <w:r>
        <w:rPr>
          <w:rStyle w:val="KeywordTok"/>
        </w:rPr>
        <w:t xml:space="preserve">&gt;</w:t>
      </w:r>
      <w:r>
        <w:rPr>
          <w:rStyle w:val="NormalTok"/>
        </w:rPr>
        <w:t xml:space="preserve">MATLAB</w:t>
      </w:r>
      <w:r>
        <w:rPr>
          <w:rStyle w:val="KeywordTok"/>
        </w:rPr>
        <w:t xml:space="preserve">&lt;/rs&gt;</w:t>
      </w:r>
      <w:r>
        <w:rPr>
          <w:rStyle w:val="NormalTok"/>
        </w:rPr>
        <w:t xml:space="preserve"> </w:t>
      </w:r>
    </w:p>
    <w:p>
      <w:pPr>
        <w:pStyle w:val="FirstParagraph"/>
      </w:pPr>
      <w:r>
        <w:t xml:space="preserve">MATLAB being an statistical analysis environment, scripts have to be written for carrying out the analysis. It is important to distinguish this case, in contrast to the usage of a software without the production of script, because using such</w:t>
      </w:r>
      <w:r>
        <w:t xml:space="preserve"> </w:t>
      </w:r>
      <w:r>
        <w:rPr>
          <w:i/>
        </w:rPr>
        <w:t xml:space="preserve">software environment</w:t>
      </w:r>
      <w:r>
        <w:t xml:space="preserve"> </w:t>
      </w:r>
      <w:r>
        <w:t xml:space="preserve">means that some code is created and could be shared.</w:t>
      </w:r>
    </w:p>
    <w:p>
      <w:pPr>
        <w:pStyle w:val="BodyText"/>
      </w:pPr>
      <w:r>
        <w:t xml:space="preserve">When a software package or library is developed within a larger software environment, as a</w:t>
      </w:r>
      <w:r>
        <w:t xml:space="preserve"> </w:t>
      </w:r>
      <w:r>
        <w:rPr>
          <w:i/>
        </w:rPr>
        <w:t xml:space="preserve">software dependency</w:t>
      </w:r>
      <w:r>
        <w:t xml:space="preserve">, we identify the two software respectively as</w:t>
      </w:r>
      <w:r>
        <w:t xml:space="preserve"> </w:t>
      </w:r>
      <w:r>
        <w:rPr>
          <w:rStyle w:val="VerbatimChar"/>
        </w:rPr>
        <w:t xml:space="preserve">@subtype=component</w:t>
      </w:r>
      <w:r>
        <w:t xml:space="preserve"> </w:t>
      </w:r>
      <w:r>
        <w:t xml:space="preserve">and</w:t>
      </w:r>
      <w:r>
        <w:t xml:space="preserve"> </w:t>
      </w:r>
      <w:r>
        <w:rPr>
          <w:rStyle w:val="VerbatimChar"/>
        </w:rPr>
        <w:t xml:space="preserve">@subtype=environment</w:t>
      </w:r>
      <w:r>
        <w:t xml:space="preserve">, with a relationship encoded with</w:t>
      </w:r>
      <w:r>
        <w:t xml:space="preserve"> </w:t>
      </w:r>
      <w:r>
        <w:rPr>
          <w:rStyle w:val="VerbatimChar"/>
        </w:rPr>
        <w:t xml:space="preserve">@corresp</w:t>
      </w:r>
      <w:r>
        <w:t xml:space="preserve"> </w:t>
      </w:r>
      <w:r>
        <w:t xml:space="preserve">pointing from the component to the environment part identifier. The two pieces of software can have their own attributes.</w:t>
      </w:r>
    </w:p>
    <w:p>
      <w:pPr>
        <w:pStyle w:val="SourceCode"/>
      </w:pPr>
      <w:r>
        <w:rPr>
          <w:rStyle w:val="KeywordTok"/>
        </w:rPr>
        <w:t xml:space="preserve">&lt;rs</w:t>
      </w:r>
      <w:r>
        <w:rPr>
          <w:rStyle w:val="OtherTok"/>
        </w:rPr>
        <w:t xml:space="preserve"> corresp=</w:t>
      </w:r>
      <w:r>
        <w:rPr>
          <w:rStyle w:val="StringTok"/>
        </w:rPr>
        <w:t xml:space="preserve">"#d984c41c4d-software-1"</w:t>
      </w:r>
      <w:r>
        <w:rPr>
          <w:rStyle w:val="OtherTok"/>
        </w:rPr>
        <w:t xml:space="preserve"> resp=</w:t>
      </w:r>
      <w:r>
        <w:rPr>
          <w:rStyle w:val="StringTok"/>
        </w:rPr>
        <w:t xml:space="preserve">"#annotator22"</w:t>
      </w:r>
      <w:r>
        <w:rPr>
          <w:rStyle w:val="OtherTok"/>
        </w:rPr>
        <w:t xml:space="preserve"> subtype=</w:t>
      </w:r>
      <w:r>
        <w:rPr>
          <w:rStyle w:val="StringTok"/>
        </w:rPr>
        <w:t xml:space="preserve">"component"</w:t>
      </w:r>
      <w:r>
        <w:rPr>
          <w:rStyle w:val="NormalTok"/>
        </w:rPr>
        <w:t xml:space="preserve"> </w:t>
      </w:r>
      <w:r>
        <w:br/>
      </w:r>
      <w:r>
        <w:rPr>
          <w:rStyle w:val="OtherTok"/>
        </w:rPr>
        <w:t xml:space="preserve">  type=</w:t>
      </w:r>
      <w:r>
        <w:rPr>
          <w:rStyle w:val="StringTok"/>
        </w:rPr>
        <w:t xml:space="preserve">"software"</w:t>
      </w:r>
      <w:r>
        <w:rPr>
          <w:rStyle w:val="OtherTok"/>
        </w:rPr>
        <w:t xml:space="preserve"> xml:id=</w:t>
      </w:r>
      <w:r>
        <w:rPr>
          <w:rStyle w:val="StringTok"/>
        </w:rPr>
        <w:t xml:space="preserve">"d984c41c4d-software-2"</w:t>
      </w:r>
      <w:r>
        <w:rPr>
          <w:rStyle w:val="KeywordTok"/>
        </w:rPr>
        <w:t xml:space="preserve">&gt;</w:t>
      </w:r>
      <w:r>
        <w:rPr>
          <w:rStyle w:val="NormalTok"/>
        </w:rPr>
        <w:t xml:space="preserve">rgp</w:t>
      </w:r>
      <w:r>
        <w:rPr>
          <w:rStyle w:val="KeywordTok"/>
        </w:rPr>
        <w:t xml:space="preserve">&lt;/rs&gt;</w:t>
      </w:r>
      <w:r>
        <w:rPr>
          <w:rStyle w:val="NormalTok"/>
        </w:rPr>
        <w:t xml:space="preserve"> is an implementation </w:t>
      </w:r>
      <w:r>
        <w:br/>
      </w:r>
      <w:r>
        <w:rPr>
          <w:rStyle w:val="NormalTok"/>
        </w:rPr>
        <w:t xml:space="preserve">of GP methods in the </w:t>
      </w:r>
      <w:r>
        <w:rPr>
          <w:rStyle w:val="KeywordTok"/>
        </w:rPr>
        <w:t xml:space="preserve">&lt;rs</w:t>
      </w:r>
      <w:r>
        <w:rPr>
          <w:rStyle w:val="OtherTok"/>
        </w:rPr>
        <w:t xml:space="preserve"> cert=</w:t>
      </w:r>
      <w:r>
        <w:rPr>
          <w:rStyle w:val="StringTok"/>
        </w:rPr>
        <w:t xml:space="preserve">"1.0"</w:t>
      </w:r>
      <w:r>
        <w:rPr>
          <w:rStyle w:val="OtherTok"/>
        </w:rPr>
        <w:t xml:space="preserve"> resp=</w:t>
      </w:r>
      <w:r>
        <w:rPr>
          <w:rStyle w:val="StringTok"/>
        </w:rPr>
        <w:t xml:space="preserve">"#curator"</w:t>
      </w:r>
      <w:r>
        <w:rPr>
          <w:rStyle w:val="OtherTok"/>
        </w:rPr>
        <w:t xml:space="preserve"> subtype=</w:t>
      </w:r>
      <w:r>
        <w:rPr>
          <w:rStyle w:val="StringTok"/>
        </w:rPr>
        <w:t xml:space="preserve">"environment"</w:t>
      </w:r>
      <w:r>
        <w:rPr>
          <w:rStyle w:val="NormalTok"/>
        </w:rPr>
        <w:t xml:space="preserve"> </w:t>
      </w:r>
      <w:r>
        <w:br/>
      </w:r>
      <w:r>
        <w:rPr>
          <w:rStyle w:val="OtherTok"/>
        </w:rPr>
        <w:t xml:space="preserve">  type=</w:t>
      </w:r>
      <w:r>
        <w:rPr>
          <w:rStyle w:val="StringTok"/>
        </w:rPr>
        <w:t xml:space="preserve">"software"</w:t>
      </w:r>
      <w:r>
        <w:rPr>
          <w:rStyle w:val="OtherTok"/>
        </w:rPr>
        <w:t xml:space="preserve"> xml:id=</w:t>
      </w:r>
      <w:r>
        <w:rPr>
          <w:rStyle w:val="StringTok"/>
        </w:rPr>
        <w:t xml:space="preserve">"d984c41c4d-software-1"</w:t>
      </w:r>
      <w:r>
        <w:rPr>
          <w:rStyle w:val="KeywordTok"/>
        </w:rPr>
        <w:t xml:space="preserve">&gt;</w:t>
      </w:r>
      <w:r>
        <w:rPr>
          <w:rStyle w:val="NormalTok"/>
        </w:rPr>
        <w:t xml:space="preserve">R</w:t>
      </w:r>
      <w:r>
        <w:rPr>
          <w:rStyle w:val="KeywordTok"/>
        </w:rPr>
        <w:t xml:space="preserve">&lt;/rs&gt;</w:t>
      </w:r>
      <w:r>
        <w:rPr>
          <w:rStyle w:val="NormalTok"/>
        </w:rPr>
        <w:t xml:space="preserve"> environment. </w:t>
      </w:r>
    </w:p>
    <w:p>
      <w:pPr>
        <w:pStyle w:val="FirstParagraph"/>
      </w:pPr>
      <w:r>
        <w:t xml:space="preserve">It is possible to encode a list of components depending on a single environment:</w:t>
      </w:r>
    </w:p>
    <w:p>
      <w:pPr>
        <w:pStyle w:val="SourceCode"/>
      </w:pPr>
      <w:r>
        <w:rPr>
          <w:rStyle w:val="NormalTok"/>
        </w:rPr>
        <w:t xml:space="preserve">Mlr and decision trees were implemented in </w:t>
      </w:r>
      <w:r>
        <w:rPr>
          <w:rStyle w:val="KeywordTok"/>
        </w:rPr>
        <w:t xml:space="preserve">&lt;rs</w:t>
      </w:r>
      <w:r>
        <w:rPr>
          <w:rStyle w:val="OtherTok"/>
        </w:rPr>
        <w:t xml:space="preserve"> resp=</w:t>
      </w:r>
      <w:r>
        <w:rPr>
          <w:rStyle w:val="StringTok"/>
        </w:rPr>
        <w:t xml:space="preserve">"#curator"</w:t>
      </w:r>
      <w:r>
        <w:rPr>
          <w:rStyle w:val="OtherTok"/>
        </w:rPr>
        <w:t xml:space="preserve"> subtype=</w:t>
      </w:r>
      <w:r>
        <w:rPr>
          <w:rStyle w:val="StringTok"/>
        </w:rPr>
        <w:t xml:space="preserve">"environment"</w:t>
      </w:r>
      <w:r>
        <w:rPr>
          <w:rStyle w:val="NormalTok"/>
        </w:rPr>
        <w:t xml:space="preserve"> </w:t>
      </w:r>
      <w:r>
        <w:br/>
      </w:r>
      <w:r>
        <w:rPr>
          <w:rStyle w:val="OtherTok"/>
        </w:rPr>
        <w:t xml:space="preserve">type=</w:t>
      </w:r>
      <w:r>
        <w:rPr>
          <w:rStyle w:val="StringTok"/>
        </w:rPr>
        <w:t xml:space="preserve">"software"</w:t>
      </w:r>
      <w:r>
        <w:rPr>
          <w:rStyle w:val="OtherTok"/>
        </w:rPr>
        <w:t xml:space="preserve"> xml:id=</w:t>
      </w:r>
      <w:r>
        <w:rPr>
          <w:rStyle w:val="StringTok"/>
        </w:rPr>
        <w:t xml:space="preserve">"d984c41c4d-software-1"</w:t>
      </w:r>
      <w:r>
        <w:rPr>
          <w:rStyle w:val="KeywordTok"/>
        </w:rPr>
        <w:t xml:space="preserve">&gt;</w:t>
      </w:r>
      <w:r>
        <w:rPr>
          <w:rStyle w:val="NormalTok"/>
        </w:rPr>
        <w:t xml:space="preserve">r</w:t>
      </w:r>
      <w:r>
        <w:rPr>
          <w:rStyle w:val="KeywordTok"/>
        </w:rPr>
        <w:t xml:space="preserve">&lt;/rs&gt;</w:t>
      </w:r>
      <w:r>
        <w:rPr>
          <w:rStyle w:val="NormalTok"/>
        </w:rPr>
        <w:t xml:space="preserve"> using </w:t>
      </w:r>
      <w:r>
        <w:br/>
      </w:r>
      <w:r>
        <w:rPr>
          <w:rStyle w:val="KeywordTok"/>
        </w:rPr>
        <w:t xml:space="preserve">&lt;rs</w:t>
      </w:r>
      <w:r>
        <w:rPr>
          <w:rStyle w:val="OtherTok"/>
        </w:rPr>
        <w:t xml:space="preserve"> corresp=</w:t>
      </w:r>
      <w:r>
        <w:rPr>
          <w:rStyle w:val="StringTok"/>
        </w:rPr>
        <w:t xml:space="preserve">"#d984c41c4d-software-1"</w:t>
      </w:r>
      <w:r>
        <w:rPr>
          <w:rStyle w:val="OtherTok"/>
        </w:rPr>
        <w:t xml:space="preserve"> resp=</w:t>
      </w:r>
      <w:r>
        <w:rPr>
          <w:rStyle w:val="StringTok"/>
        </w:rPr>
        <w:t xml:space="preserve">"#curator"</w:t>
      </w:r>
      <w:r>
        <w:rPr>
          <w:rStyle w:val="OtherTok"/>
        </w:rPr>
        <w:t xml:space="preserve"> subtype=</w:t>
      </w:r>
      <w:r>
        <w:rPr>
          <w:rStyle w:val="StringTok"/>
        </w:rPr>
        <w:t xml:space="preserve">"component"</w:t>
      </w:r>
      <w:r>
        <w:rPr>
          <w:rStyle w:val="NormalTok"/>
        </w:rPr>
        <w:t xml:space="preserve"> </w:t>
      </w:r>
      <w:r>
        <w:br/>
      </w:r>
      <w:r>
        <w:rPr>
          <w:rStyle w:val="OtherTok"/>
        </w:rPr>
        <w:t xml:space="preserve">  type=</w:t>
      </w:r>
      <w:r>
        <w:rPr>
          <w:rStyle w:val="StringTok"/>
        </w:rPr>
        <w:t xml:space="preserve">"software"</w:t>
      </w:r>
      <w:r>
        <w:rPr>
          <w:rStyle w:val="OtherTok"/>
        </w:rPr>
        <w:t xml:space="preserve"> xml:id=</w:t>
      </w:r>
      <w:r>
        <w:rPr>
          <w:rStyle w:val="StringTok"/>
        </w:rPr>
        <w:t xml:space="preserve">"d984c41c4d-software-2"</w:t>
      </w:r>
      <w:r>
        <w:rPr>
          <w:rStyle w:val="KeywordTok"/>
        </w:rPr>
        <w:t xml:space="preserve">&gt;</w:t>
      </w:r>
      <w:r>
        <w:rPr>
          <w:rStyle w:val="NormalTok"/>
        </w:rPr>
        <w:t xml:space="preserve">lm command</w:t>
      </w:r>
      <w:r>
        <w:rPr>
          <w:rStyle w:val="KeywordTok"/>
        </w:rPr>
        <w:t xml:space="preserve">&lt;/rs&gt;</w:t>
      </w:r>
      <w:r>
        <w:rPr>
          <w:rStyle w:val="NormalTok"/>
        </w:rPr>
        <w:t xml:space="preserve"> and </w:t>
      </w:r>
      <w:r>
        <w:br/>
      </w:r>
      <w:r>
        <w:rPr>
          <w:rStyle w:val="KeywordTok"/>
        </w:rPr>
        <w:t xml:space="preserve">&lt;rs</w:t>
      </w:r>
      <w:r>
        <w:rPr>
          <w:rStyle w:val="OtherTok"/>
        </w:rPr>
        <w:t xml:space="preserve"> corresp=</w:t>
      </w:r>
      <w:r>
        <w:rPr>
          <w:rStyle w:val="StringTok"/>
        </w:rPr>
        <w:t xml:space="preserve">"#d984c41c4d-software-1"</w:t>
      </w:r>
      <w:r>
        <w:rPr>
          <w:rStyle w:val="OtherTok"/>
        </w:rPr>
        <w:t xml:space="preserve"> resp=</w:t>
      </w:r>
      <w:r>
        <w:rPr>
          <w:rStyle w:val="StringTok"/>
        </w:rPr>
        <w:t xml:space="preserve">"#annotator22"</w:t>
      </w:r>
      <w:r>
        <w:rPr>
          <w:rStyle w:val="OtherTok"/>
        </w:rPr>
        <w:t xml:space="preserve"> subtype=</w:t>
      </w:r>
      <w:r>
        <w:rPr>
          <w:rStyle w:val="StringTok"/>
        </w:rPr>
        <w:t xml:space="preserve">"component"</w:t>
      </w:r>
      <w:r>
        <w:rPr>
          <w:rStyle w:val="NormalTok"/>
        </w:rPr>
        <w:t xml:space="preserve"> </w:t>
      </w:r>
      <w:r>
        <w:br/>
      </w:r>
      <w:r>
        <w:rPr>
          <w:rStyle w:val="OtherTok"/>
        </w:rPr>
        <w:t xml:space="preserve">    type=</w:t>
      </w:r>
      <w:r>
        <w:rPr>
          <w:rStyle w:val="StringTok"/>
        </w:rPr>
        <w:t xml:space="preserve">"software"</w:t>
      </w:r>
      <w:r>
        <w:rPr>
          <w:rStyle w:val="OtherTok"/>
        </w:rPr>
        <w:t xml:space="preserve"> xml:id=</w:t>
      </w:r>
      <w:r>
        <w:rPr>
          <w:rStyle w:val="StringTok"/>
        </w:rPr>
        <w:t xml:space="preserve">"d984c41c4d-software-3"</w:t>
      </w:r>
      <w:r>
        <w:rPr>
          <w:rStyle w:val="KeywordTok"/>
        </w:rPr>
        <w:t xml:space="preserve">&gt;</w:t>
      </w:r>
      <w:r>
        <w:rPr>
          <w:rStyle w:val="NormalTok"/>
        </w:rPr>
        <w:t xml:space="preserve">cubist</w:t>
      </w:r>
      <w:r>
        <w:rPr>
          <w:rStyle w:val="KeywordTok"/>
        </w:rPr>
        <w:t xml:space="preserve">&lt;/rs&gt;</w:t>
      </w:r>
      <w:r>
        <w:rPr>
          <w:rStyle w:val="NormalTok"/>
        </w:rPr>
        <w:t xml:space="preserve"> package, respectively. </w:t>
      </w:r>
    </w:p>
    <w:p>
      <w:pPr>
        <w:pStyle w:val="FirstParagraph"/>
      </w:pPr>
      <w:r>
        <w:t xml:space="preserve">Another case, less frequent, is to have several hierarchical dependency relations, which are encoded similarly as follow:</w:t>
      </w:r>
    </w:p>
    <w:p>
      <w:pPr>
        <w:pStyle w:val="SourceCode"/>
      </w:pPr>
      <w:r>
        <w:rPr>
          <w:rStyle w:val="NormalTok"/>
        </w:rPr>
        <w:t xml:space="preserve">The package </w:t>
      </w:r>
      <w:r>
        <w:rPr>
          <w:rStyle w:val="KeywordTok"/>
        </w:rPr>
        <w:t xml:space="preserve">&lt;rs</w:t>
      </w:r>
      <w:r>
        <w:rPr>
          <w:rStyle w:val="OtherTok"/>
        </w:rPr>
        <w:t xml:space="preserve"> corresp=</w:t>
      </w:r>
      <w:r>
        <w:rPr>
          <w:rStyle w:val="StringTok"/>
        </w:rPr>
        <w:t xml:space="preserve">"#d984c41c4d-software-1"</w:t>
      </w:r>
      <w:r>
        <w:rPr>
          <w:rStyle w:val="OtherTok"/>
        </w:rPr>
        <w:t xml:space="preserve"> resp=</w:t>
      </w:r>
      <w:r>
        <w:rPr>
          <w:rStyle w:val="StringTok"/>
        </w:rPr>
        <w:t xml:space="preserve">"#annotator22"</w:t>
      </w:r>
      <w:r>
        <w:rPr>
          <w:rStyle w:val="NormalTok"/>
        </w:rPr>
        <w:t xml:space="preserve"> </w:t>
      </w:r>
      <w:r>
        <w:br/>
      </w:r>
      <w:r>
        <w:rPr>
          <w:rStyle w:val="OtherTok"/>
        </w:rPr>
        <w:t xml:space="preserve">subtype=</w:t>
      </w:r>
      <w:r>
        <w:rPr>
          <w:rStyle w:val="StringTok"/>
        </w:rPr>
        <w:t xml:space="preserve">"component"</w:t>
      </w:r>
      <w:r>
        <w:rPr>
          <w:rStyle w:val="OtherTok"/>
        </w:rPr>
        <w:t xml:space="preserve"> type=</w:t>
      </w:r>
      <w:r>
        <w:rPr>
          <w:rStyle w:val="StringTok"/>
        </w:rPr>
        <w:t xml:space="preserve">"software"</w:t>
      </w:r>
      <w:r>
        <w:rPr>
          <w:rStyle w:val="OtherTok"/>
        </w:rPr>
        <w:t xml:space="preserve"> xml:id=</w:t>
      </w:r>
      <w:r>
        <w:rPr>
          <w:rStyle w:val="StringTok"/>
        </w:rPr>
        <w:t xml:space="preserve">"d984c41c4d-software-0"</w:t>
      </w:r>
      <w:r>
        <w:rPr>
          <w:rStyle w:val="KeywordTok"/>
        </w:rPr>
        <w:t xml:space="preserve">&gt;</w:t>
      </w:r>
      <w:r>
        <w:rPr>
          <w:rStyle w:val="NormalTok"/>
        </w:rPr>
        <w:t xml:space="preserve">fscaret</w:t>
      </w:r>
      <w:r>
        <w:rPr>
          <w:rStyle w:val="KeywordTok"/>
        </w:rPr>
        <w:t xml:space="preserve">&lt;/rs&gt;</w:t>
      </w:r>
      <w:r>
        <w:rPr>
          <w:rStyle w:val="NormalTok"/>
        </w:rPr>
        <w:t xml:space="preserve"> </w:t>
      </w:r>
      <w:r>
        <w:br/>
      </w:r>
      <w:r>
        <w:rPr>
          <w:rStyle w:val="NormalTok"/>
        </w:rPr>
        <w:t xml:space="preserve">allows semiautomatic feature selection, working as a wrapper for the </w:t>
      </w:r>
      <w:r>
        <w:br/>
      </w:r>
      <w:r>
        <w:rPr>
          <w:rStyle w:val="KeywordTok"/>
        </w:rPr>
        <w:t xml:space="preserve">&lt;rs</w:t>
      </w:r>
      <w:r>
        <w:rPr>
          <w:rStyle w:val="OtherTok"/>
        </w:rPr>
        <w:t xml:space="preserve"> corresp=</w:t>
      </w:r>
      <w:r>
        <w:rPr>
          <w:rStyle w:val="StringTok"/>
        </w:rPr>
        <w:t xml:space="preserve">"#d984c41c4d-software-2"</w:t>
      </w:r>
      <w:r>
        <w:rPr>
          <w:rStyle w:val="OtherTok"/>
        </w:rPr>
        <w:t xml:space="preserve"> resp=</w:t>
      </w:r>
      <w:r>
        <w:rPr>
          <w:rStyle w:val="StringTok"/>
        </w:rPr>
        <w:t xml:space="preserve">"#curator"</w:t>
      </w:r>
      <w:r>
        <w:rPr>
          <w:rStyle w:val="OtherTok"/>
        </w:rPr>
        <w:t xml:space="preserve"> subtype=</w:t>
      </w:r>
      <w:r>
        <w:rPr>
          <w:rStyle w:val="StringTok"/>
        </w:rPr>
        <w:t xml:space="preserve">"component"</w:t>
      </w:r>
      <w:r>
        <w:rPr>
          <w:rStyle w:val="NormalTok"/>
        </w:rPr>
        <w:t xml:space="preserve"> </w:t>
      </w:r>
      <w:r>
        <w:br/>
      </w:r>
      <w:r>
        <w:rPr>
          <w:rStyle w:val="OtherTok"/>
        </w:rPr>
        <w:t xml:space="preserve">  type=</w:t>
      </w:r>
      <w:r>
        <w:rPr>
          <w:rStyle w:val="StringTok"/>
        </w:rPr>
        <w:t xml:space="preserve">"software"</w:t>
      </w:r>
      <w:r>
        <w:rPr>
          <w:rStyle w:val="OtherTok"/>
        </w:rPr>
        <w:t xml:space="preserve"> xml:id=</w:t>
      </w:r>
      <w:r>
        <w:rPr>
          <w:rStyle w:val="StringTok"/>
        </w:rPr>
        <w:t xml:space="preserve">"d984c41c4d-software-1"</w:t>
      </w:r>
      <w:r>
        <w:rPr>
          <w:rStyle w:val="KeywordTok"/>
        </w:rPr>
        <w:t xml:space="preserve">&gt;</w:t>
      </w:r>
      <w:r>
        <w:rPr>
          <w:rStyle w:val="NormalTok"/>
        </w:rPr>
        <w:t xml:space="preserve">caret</w:t>
      </w:r>
      <w:r>
        <w:rPr>
          <w:rStyle w:val="KeywordTok"/>
        </w:rPr>
        <w:t xml:space="preserve">&lt;/rs&gt;</w:t>
      </w:r>
      <w:r>
        <w:rPr>
          <w:rStyle w:val="NormalTok"/>
        </w:rPr>
        <w:t xml:space="preserve"> package in </w:t>
      </w:r>
      <w:r>
        <w:br/>
      </w:r>
      <w:r>
        <w:rPr>
          <w:rStyle w:val="KeywordTok"/>
        </w:rPr>
        <w:t xml:space="preserve">&lt;rs</w:t>
      </w:r>
      <w:r>
        <w:rPr>
          <w:rStyle w:val="OtherTok"/>
        </w:rPr>
        <w:t xml:space="preserve"> resp=</w:t>
      </w:r>
      <w:r>
        <w:rPr>
          <w:rStyle w:val="StringTok"/>
        </w:rPr>
        <w:t xml:space="preserve">"#curator"</w:t>
      </w:r>
      <w:r>
        <w:rPr>
          <w:rStyle w:val="OtherTok"/>
        </w:rPr>
        <w:t xml:space="preserve"> subtype=</w:t>
      </w:r>
      <w:r>
        <w:rPr>
          <w:rStyle w:val="StringTok"/>
        </w:rPr>
        <w:t xml:space="preserve">"environment"</w:t>
      </w:r>
      <w:r>
        <w:rPr>
          <w:rStyle w:val="OtherTok"/>
        </w:rPr>
        <w:t xml:space="preserve"> type=</w:t>
      </w:r>
      <w:r>
        <w:rPr>
          <w:rStyle w:val="StringTok"/>
        </w:rPr>
        <w:t xml:space="preserve">"software"</w:t>
      </w:r>
      <w:r>
        <w:rPr>
          <w:rStyle w:val="NormalTok"/>
        </w:rPr>
        <w:t xml:space="preserve"> </w:t>
      </w:r>
      <w:r>
        <w:br/>
      </w:r>
      <w:r>
        <w:rPr>
          <w:rStyle w:val="OtherTok"/>
        </w:rPr>
        <w:t xml:space="preserve">    xml:id=</w:t>
      </w:r>
      <w:r>
        <w:rPr>
          <w:rStyle w:val="StringTok"/>
        </w:rPr>
        <w:t xml:space="preserve">"d984c41c4d-software-2"</w:t>
      </w:r>
      <w:r>
        <w:rPr>
          <w:rStyle w:val="KeywordTok"/>
        </w:rPr>
        <w:t xml:space="preserve">&gt;</w:t>
      </w:r>
      <w:r>
        <w:rPr>
          <w:rStyle w:val="NormalTok"/>
        </w:rPr>
        <w:t xml:space="preserve">R</w:t>
      </w:r>
      <w:r>
        <w:rPr>
          <w:rStyle w:val="KeywordTok"/>
        </w:rPr>
        <w:t xml:space="preserve">&lt;/rs&gt;</w:t>
      </w:r>
      <w:r>
        <w:rPr>
          <w:rStyle w:val="NormalTok"/>
        </w:rPr>
        <w:t xml:space="preserve">.</w:t>
      </w:r>
    </w:p>
    <w:p>
      <w:pPr>
        <w:pStyle w:val="FirstParagraph"/>
      </w:pPr>
      <w:r>
        <w:t xml:space="preserve">Finally unamed software having an implicit substantive, such as</w:t>
      </w:r>
      <w:r>
        <w:t xml:space="preserve"> </w:t>
      </w:r>
      <w:r>
        <w:rPr>
          <w:i/>
        </w:rPr>
        <w:t xml:space="preserve">program</w:t>
      </w:r>
      <w:r>
        <w:t xml:space="preserve">,</w:t>
      </w:r>
      <w:r>
        <w:t xml:space="preserve"> </w:t>
      </w:r>
      <w:r>
        <w:rPr>
          <w:i/>
        </w:rPr>
        <w:t xml:space="preserve">script</w:t>
      </w:r>
      <w:r>
        <w:t xml:space="preserve">,</w:t>
      </w:r>
      <w:r>
        <w:t xml:space="preserve"> </w:t>
      </w:r>
      <w:r>
        <w:rPr>
          <w:i/>
        </w:rPr>
        <w:t xml:space="preserve">package</w:t>
      </w:r>
      <w:r>
        <w:t xml:space="preserve">,</w:t>
      </w:r>
      <w:r>
        <w:t xml:space="preserve"> </w:t>
      </w:r>
      <w:r>
        <w:rPr>
          <w:i/>
        </w:rPr>
        <w:t xml:space="preserve">macro</w:t>
      </w:r>
      <w:r>
        <w:t xml:space="preserve">, etc. are identified with the attribute value</w:t>
      </w:r>
      <w:r>
        <w:t xml:space="preserve"> </w:t>
      </w:r>
      <w:r>
        <w:rPr>
          <w:rStyle w:val="VerbatimChar"/>
        </w:rPr>
        <w:t xml:space="preserve">@subtype=implicit</w:t>
      </w:r>
      <w:r>
        <w:t xml:space="preserve">.</w:t>
      </w:r>
    </w:p>
    <w:p>
      <w:pPr>
        <w:pStyle w:val="SourceCode"/>
      </w:pPr>
      <w:r>
        <w:rPr>
          <w:rStyle w:val="NormalTok"/>
        </w:rPr>
        <w:t xml:space="preserve">Data reduction occurred in </w:t>
      </w:r>
      <w:r>
        <w:rPr>
          <w:rStyle w:val="KeywordTok"/>
        </w:rPr>
        <w:t xml:space="preserve">&lt;rs</w:t>
      </w:r>
      <w:r>
        <w:rPr>
          <w:rStyle w:val="OtherTok"/>
        </w:rPr>
        <w:t xml:space="preserve"> resp=</w:t>
      </w:r>
      <w:r>
        <w:rPr>
          <w:rStyle w:val="StringTok"/>
        </w:rPr>
        <w:t xml:space="preserve">"#annotator7"</w:t>
      </w:r>
      <w:r>
        <w:rPr>
          <w:rStyle w:val="OtherTok"/>
        </w:rPr>
        <w:t xml:space="preserve"> subtype=</w:t>
      </w:r>
      <w:r>
        <w:rPr>
          <w:rStyle w:val="StringTok"/>
        </w:rPr>
        <w:t xml:space="preserve">"environment"</w:t>
      </w:r>
      <w:r>
        <w:rPr>
          <w:rStyle w:val="NormalTok"/>
        </w:rPr>
        <w:t xml:space="preserve"> </w:t>
      </w:r>
      <w:r>
        <w:br/>
      </w:r>
      <w:r>
        <w:rPr>
          <w:rStyle w:val="OtherTok"/>
        </w:rPr>
        <w:t xml:space="preserve">type=</w:t>
      </w:r>
      <w:r>
        <w:rPr>
          <w:rStyle w:val="StringTok"/>
        </w:rPr>
        <w:t xml:space="preserve">"software"</w:t>
      </w:r>
      <w:r>
        <w:rPr>
          <w:rStyle w:val="OtherTok"/>
        </w:rPr>
        <w:t xml:space="preserve"> xml:id=</w:t>
      </w:r>
      <w:r>
        <w:rPr>
          <w:rStyle w:val="StringTok"/>
        </w:rPr>
        <w:t xml:space="preserve">"e4ab54fee2-software-1"</w:t>
      </w:r>
      <w:r>
        <w:rPr>
          <w:rStyle w:val="KeywordTok"/>
        </w:rPr>
        <w:t xml:space="preserve">&gt;</w:t>
      </w:r>
      <w:r>
        <w:rPr>
          <w:rStyle w:val="NormalTok"/>
        </w:rPr>
        <w:t xml:space="preserve">MATLAB</w:t>
      </w:r>
      <w:r>
        <w:rPr>
          <w:rStyle w:val="KeywordTok"/>
        </w:rPr>
        <w:t xml:space="preserve">&lt;/rs&gt;</w:t>
      </w:r>
      <w:r>
        <w:rPr>
          <w:rStyle w:val="NormalTok"/>
        </w:rPr>
        <w:t xml:space="preserve"> using custom </w:t>
      </w:r>
      <w:r>
        <w:br/>
      </w:r>
      <w:r>
        <w:rPr>
          <w:rStyle w:val="KeywordTok"/>
        </w:rPr>
        <w:t xml:space="preserve">&lt;rs</w:t>
      </w:r>
      <w:r>
        <w:rPr>
          <w:rStyle w:val="OtherTok"/>
        </w:rPr>
        <w:t xml:space="preserve"> corresp=</w:t>
      </w:r>
      <w:r>
        <w:rPr>
          <w:rStyle w:val="StringTok"/>
        </w:rPr>
        <w:t xml:space="preserve">"#e4ab54fee2-software-1"</w:t>
      </w:r>
      <w:r>
        <w:rPr>
          <w:rStyle w:val="OtherTok"/>
        </w:rPr>
        <w:t xml:space="preserve"> resp=</w:t>
      </w:r>
      <w:r>
        <w:rPr>
          <w:rStyle w:val="StringTok"/>
        </w:rPr>
        <w:t xml:space="preserve">"#curator"</w:t>
      </w:r>
      <w:r>
        <w:rPr>
          <w:rStyle w:val="OtherTok"/>
        </w:rPr>
        <w:t xml:space="preserve"> subtype=</w:t>
      </w:r>
      <w:r>
        <w:rPr>
          <w:rStyle w:val="StringTok"/>
        </w:rPr>
        <w:t xml:space="preserve">"implicit"</w:t>
      </w:r>
      <w:r>
        <w:rPr>
          <w:rStyle w:val="NormalTok"/>
        </w:rPr>
        <w:t xml:space="preserve"> </w:t>
      </w:r>
      <w:r>
        <w:br/>
      </w:r>
      <w:r>
        <w:rPr>
          <w:rStyle w:val="OtherTok"/>
        </w:rPr>
        <w:t xml:space="preserve">  type=</w:t>
      </w:r>
      <w:r>
        <w:rPr>
          <w:rStyle w:val="StringTok"/>
        </w:rPr>
        <w:t xml:space="preserve">"software"</w:t>
      </w:r>
      <w:r>
        <w:rPr>
          <w:rStyle w:val="OtherTok"/>
        </w:rPr>
        <w:t xml:space="preserve"> xml:id=</w:t>
      </w:r>
      <w:r>
        <w:rPr>
          <w:rStyle w:val="StringTok"/>
        </w:rPr>
        <w:t xml:space="preserve">"e4ab54fee2-software-2"</w:t>
      </w:r>
      <w:r>
        <w:rPr>
          <w:rStyle w:val="KeywordTok"/>
        </w:rPr>
        <w:t xml:space="preserve">&gt;</w:t>
      </w:r>
      <w:r>
        <w:rPr>
          <w:rStyle w:val="NormalTok"/>
        </w:rPr>
        <w:t xml:space="preserve">scripts</w:t>
      </w:r>
      <w:r>
        <w:rPr>
          <w:rStyle w:val="KeywordTok"/>
        </w:rPr>
        <w:t xml:space="preserve">&lt;/rs&gt;</w:t>
      </w:r>
      <w:r>
        <w:rPr>
          <w:rStyle w:val="NormalTok"/>
        </w:rPr>
        <w:t xml:space="preserve">.</w:t>
      </w:r>
    </w:p>
    <w:p>
      <w:pPr>
        <w:pStyle w:val="FirstParagraph"/>
      </w:pPr>
      <w:r>
        <w:t xml:space="preserve">With these additional dependency annotations between software, the new Softcite dataset version is comparable to SoMeSci in term of annotation comprehensiveness, with the benefit of a larger amount of annotated documents and a coverage not limited to Life Science.</w:t>
      </w:r>
    </w:p>
    <w:p>
      <w:pPr>
        <w:pStyle w:val="BodyText"/>
      </w:pPr>
      <w:r>
        <w:t xml:space="preserve">Like the previous versions of the Softcite dataset, the additional annotations have been produced in parallel by 2 annotators and a reconciliation phase have been realized by a curator for all disagreements.</w:t>
      </w:r>
      <w:r>
        <w:rPr>
          <w:rStyle w:val="FootnoteReference"/>
        </w:rPr>
        <w:footnoteReference w:id="42"/>
      </w:r>
    </w:p>
    <w:p>
      <w:pPr>
        <w:pStyle w:val="BodyText"/>
      </w:pPr>
      <w:r>
        <w:t xml:space="preserve">Table [] present some statistics about this new revised version (</w:t>
      </w:r>
      <w:r>
        <w:rPr>
          <w:rStyle w:val="VerbatimChar"/>
        </w:rPr>
        <w:t xml:space="preserve">2.0</w:t>
      </w:r>
      <w:r>
        <w:t xml:space="preserve">) of the Softcite dataset. A significant amount of software mentions have been broken down into software parts to encoded their relationships. The human annotation challenge here is the low frequency of software mentions. A lot of content need to be examined to find one software mention, and even the best annotators easily overlook some mentions. Only 29% of the articles contain at least one sotfware mention. The new version also includes a revision of all the previously non-annotated content to find missing annotations, in particular with the help of consistency scripts, leading to a better coverage of the mentions and a better quality of the</w:t>
      </w:r>
      <w:r>
        <w:t xml:space="preserve"> </w:t>
      </w:r>
      <w:r>
        <w:t xml:space="preserve">“</w:t>
      </w:r>
      <w:r>
        <w:t xml:space="preserve">negative</w:t>
      </w:r>
      <w:r>
        <w:t xml:space="preserve">”</w:t>
      </w:r>
      <w:r>
        <w:t xml:space="preserve"> </w:t>
      </w:r>
      <w:r>
        <w:t xml:space="preserve">contexts.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Softcite dataset version</w:t>
            </w:r>
          </w:p>
        </w:tc>
        <w:tc>
          <w:tcPr>
            <w:tcBorders>
              <w:bottom w:val="single"/>
            </w:tcBorders>
            <w:vAlign w:val="bottom"/>
          </w:tcPr>
          <w:p>
            <w:pPr>
              <w:pStyle w:val="Compact"/>
              <w:jc w:val="left"/>
            </w:pPr>
            <w:r>
              <w:t xml:space="preserve">v1.0 (2020)</w:t>
            </w:r>
          </w:p>
        </w:tc>
        <w:tc>
          <w:tcPr>
            <w:tcBorders>
              <w:bottom w:val="single"/>
            </w:tcBorders>
            <w:vAlign w:val="bottom"/>
          </w:tcPr>
          <w:p>
            <w:pPr>
              <w:pStyle w:val="Compact"/>
              <w:jc w:val="left"/>
            </w:pPr>
            <w:r>
              <w:t xml:space="preserve">v2.0 (2023)</w:t>
            </w:r>
          </w:p>
        </w:tc>
      </w:tr>
      <w:tr>
        <w:tc>
          <w:p>
            <w:pPr>
              <w:pStyle w:val="Compact"/>
              <w:jc w:val="left"/>
            </w:pPr>
            <w:r>
              <w:t xml:space="preserve">number of documents</w:t>
            </w:r>
          </w:p>
        </w:tc>
        <w:tc>
          <w:p>
            <w:pPr>
              <w:pStyle w:val="Compact"/>
              <w:jc w:val="left"/>
            </w:pPr>
            <w:r>
              <w:t xml:space="preserve">4,971</w:t>
            </w:r>
          </w:p>
        </w:tc>
        <w:tc>
          <w:p>
            <w:pPr>
              <w:pStyle w:val="Compact"/>
              <w:jc w:val="left"/>
            </w:pPr>
            <w:r>
              <w:t xml:space="preserve">4,971</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software name (total)</w:t>
            </w:r>
          </w:p>
        </w:tc>
        <w:tc>
          <w:p>
            <w:pPr>
              <w:pStyle w:val="Compact"/>
              <w:jc w:val="left"/>
            </w:pPr>
            <w:r>
              <w:t xml:space="preserve">4,093</w:t>
            </w:r>
          </w:p>
        </w:tc>
        <w:tc>
          <w:p>
            <w:pPr>
              <w:pStyle w:val="Compact"/>
              <w:jc w:val="left"/>
            </w:pPr>
            <w:r>
              <w:t xml:space="preserve">5,134</w:t>
            </w:r>
          </w:p>
        </w:tc>
      </w:tr>
      <w:tr>
        <w:tc>
          <w:p>
            <w:pPr>
              <w:pStyle w:val="Compact"/>
              <w:jc w:val="left"/>
            </w:pPr>
            <w:r>
              <w:t xml:space="preserve">- environment</w:t>
            </w:r>
          </w:p>
        </w:tc>
        <w:tc>
          <w:p/>
        </w:tc>
        <w:tc>
          <w:p>
            <w:pPr>
              <w:pStyle w:val="Compact"/>
              <w:jc w:val="left"/>
            </w:pPr>
            <w:r>
              <w:t xml:space="preserve">1,089</w:t>
            </w:r>
          </w:p>
        </w:tc>
      </w:tr>
      <w:tr>
        <w:tc>
          <w:p>
            <w:pPr>
              <w:pStyle w:val="Compact"/>
              <w:jc w:val="left"/>
            </w:pPr>
            <w:r>
              <w:t xml:space="preserve">- component</w:t>
            </w:r>
          </w:p>
        </w:tc>
        <w:tc>
          <w:p/>
        </w:tc>
        <w:tc>
          <w:p>
            <w:pPr>
              <w:pStyle w:val="Compact"/>
              <w:jc w:val="left"/>
            </w:pPr>
            <w:r>
              <w:t xml:space="preserve">88</w:t>
            </w:r>
          </w:p>
        </w:tc>
      </w:tr>
      <w:tr>
        <w:tc>
          <w:p>
            <w:pPr>
              <w:pStyle w:val="Compact"/>
              <w:jc w:val="left"/>
            </w:pPr>
            <w:r>
              <w:t xml:space="preserve">- implicit</w:t>
            </w:r>
          </w:p>
        </w:tc>
        <w:tc>
          <w:p/>
        </w:tc>
        <w:tc>
          <w:p>
            <w:pPr>
              <w:pStyle w:val="Compact"/>
              <w:jc w:val="left"/>
            </w:pPr>
            <w:r>
              <w:t xml:space="preserve">106</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version</w:t>
            </w:r>
          </w:p>
        </w:tc>
        <w:tc>
          <w:p>
            <w:pPr>
              <w:pStyle w:val="Compact"/>
              <w:jc w:val="left"/>
            </w:pPr>
            <w:r>
              <w:t xml:space="preserve">1,258</w:t>
            </w:r>
          </w:p>
        </w:tc>
        <w:tc>
          <w:p>
            <w:pPr>
              <w:pStyle w:val="Compact"/>
              <w:jc w:val="left"/>
            </w:pPr>
            <w:r>
              <w:t xml:space="preserve">1,478</w:t>
            </w:r>
          </w:p>
        </w:tc>
      </w:tr>
      <w:tr>
        <w:tc>
          <w:p>
            <w:pPr>
              <w:pStyle w:val="Compact"/>
              <w:jc w:val="left"/>
            </w:pPr>
            <w:r>
              <w:t xml:space="preserve">publisher</w:t>
            </w:r>
          </w:p>
        </w:tc>
        <w:tc>
          <w:p>
            <w:pPr>
              <w:pStyle w:val="Compact"/>
              <w:jc w:val="left"/>
            </w:pPr>
            <w:r>
              <w:t xml:space="preserve">1,111</w:t>
            </w:r>
          </w:p>
        </w:tc>
        <w:tc>
          <w:p>
            <w:pPr>
              <w:pStyle w:val="Compact"/>
              <w:jc w:val="left"/>
            </w:pPr>
            <w:r>
              <w:t xml:space="preserve">1,311</w:t>
            </w:r>
          </w:p>
        </w:tc>
      </w:tr>
      <w:tr>
        <w:tc>
          <w:p>
            <w:pPr>
              <w:pStyle w:val="Compact"/>
              <w:jc w:val="left"/>
            </w:pPr>
            <w:r>
              <w:t xml:space="preserve">URL</w:t>
            </w:r>
          </w:p>
        </w:tc>
        <w:tc>
          <w:p>
            <w:pPr>
              <w:pStyle w:val="Compact"/>
              <w:jc w:val="left"/>
            </w:pPr>
            <w:r>
              <w:t xml:space="preserve">172</w:t>
            </w:r>
          </w:p>
        </w:tc>
        <w:tc>
          <w:p>
            <w:pPr>
              <w:pStyle w:val="Compact"/>
              <w:jc w:val="left"/>
            </w:pPr>
            <w:r>
              <w:t xml:space="preserve">231</w:t>
            </w:r>
          </w:p>
        </w:tc>
      </w:tr>
      <w:tr>
        <w:tc>
          <w:p>
            <w:pPr>
              <w:pStyle w:val="Compact"/>
              <w:jc w:val="left"/>
            </w:pPr>
            <w:r>
              <w:t xml:space="preserve">programming language</w:t>
            </w:r>
          </w:p>
        </w:tc>
        <w:tc>
          <w:p/>
        </w:tc>
        <w:tc>
          <w:p>
            <w:pPr>
              <w:pStyle w:val="Compact"/>
              <w:jc w:val="left"/>
            </w:pPr>
            <w:r>
              <w:t xml:space="preserve">71</w:t>
            </w:r>
          </w:p>
        </w:tc>
      </w:tr>
    </w:tbl>
    <w:p>
      <w:pPr>
        <w:pStyle w:val="BodyText"/>
      </w:pPr>
      <w:r>
        <w:t xml:space="preserve">The latest version of the Softcite dataset is available on Zenodo:</w:t>
      </w:r>
    </w:p>
    <w:bookmarkEnd w:id="43"/>
    <w:bookmarkEnd w:id="44"/>
    <w:bookmarkStart w:id="46" w:name="architecture"/>
    <w:p>
      <w:pPr>
        <w:pStyle w:val="Heading3"/>
      </w:pPr>
      <w:r>
        <w:t xml:space="preserve">Architecture</w:t>
      </w:r>
    </w:p>
    <w:p>
      <w:pPr>
        <w:pStyle w:val="CaptionedFigure"/>
      </w:pPr>
      <w:r>
        <w:drawing>
          <wp:inline>
            <wp:extent cx="5334000" cy="4000500"/>
            <wp:effectExtent b="0" l="0" r="0" t="0"/>
            <wp:docPr descr="Overview of the Softcite software mention recognition process." title="" id="1" name="Picture"/>
            <a:graphic>
              <a:graphicData uri="http://schemas.openxmlformats.org/drawingml/2006/picture">
                <pic:pic>
                  <pic:nvPicPr>
                    <pic:cNvPr descr="workflow_software_mention.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Overview of the Softcite software mention recognition process.</w:t>
      </w:r>
    </w:p>
    <w:p>
      <w:pPr>
        <w:pStyle w:val="BodyText"/>
      </w:pPr>
      <w:r>
        <w:t xml:space="preserve">We expect input full texts to be in PDF formats, but a large range of publisher XML formats are also supported. PDF are first parsed by a PDF parser based on the Open source library Xpdf called</w:t>
      </w:r>
      <w:r>
        <w:t xml:space="preserve"> </w:t>
      </w:r>
      <w:r>
        <w:rPr>
          <w:b/>
        </w:rPr>
        <w:t xml:space="preserve">pdfalto</w:t>
      </w:r>
      <w:r>
        <w:t xml:space="preserve">. Complementary to the support of ALTO output, a modern format for OCR output, pdfalto implements additional features relevant to scientific documents, in particular better handling of multi-column documents, the recognition of superscript/subscript style and the robust recognition of line numbers for review manuscripts.</w:t>
      </w:r>
    </w:p>
    <w:p>
      <w:pPr>
        <w:pStyle w:val="BodyText"/>
      </w:pPr>
      <w:r>
        <w:t xml:space="preserve">GROBID is then applied to structure the raw PDF stream into header, sections, paragraphs, footnotes, etc. Grobid applies in cascade a set of machine learning models to create hierarchical structures, combining text content and layout features (e.g. font and style information, relative positions, SVG objects, etc.). Header metadata and all bibliographical references are also extracted and parsed. If the input is encoded in a publisher XML format, we transform the XML into the same TEI format as produced by GROBID thanks to the Pub2TEI tool, which support the main XML publisher formats such as JATS, Elsevier, Wiley, etc. We can therefore centralize our document processing across PDF and XML sources.</w:t>
      </w:r>
    </w:p>
    <w:p>
      <w:pPr>
        <w:pStyle w:val="BodyText"/>
      </w:pPr>
      <w:r>
        <w:t xml:space="preserve">Mining for specific entities is only relevant to certain textual structures of a scientific document, such as paragraphs, abstracts, figure captions, etc. In the Softcite corpus, we calculated that, on average, 28% of publication content should be filtered out. This includes metadata (author, affiliations),</w:t>
      </w:r>
      <w:r>
        <w:t xml:space="preserve"> </w:t>
      </w:r>
      <w:r>
        <w:t xml:space="preserve">bibliographical sections, table and figure content, formulas, headnotes, page numbers, reference markers, or some editorial annexes (like conflicts of interest). Relying on GROBID not only improve the quality of textual content, but it also makes possible to apply the text mining process only to relevant structures, avoiding a possible source of false recognition.</w:t>
      </w:r>
    </w:p>
    <w:p>
      <w:pPr>
        <w:pStyle w:val="BodyText"/>
      </w:pPr>
      <w:r>
        <w:t xml:space="preserve">For relevant textual structures, a first NER mentions recognition is applied to identify software names and related attributes. A second model is then applied to refine the software mention types. Attachment of the bibliographical references in the context of the software mentions are evaluated and if successful these bibliographical references are fully resolved against CrossRef DOI via the</w:t>
      </w:r>
      <w:r>
        <w:t xml:space="preserve"> </w:t>
      </w:r>
      <w:r>
        <w:rPr>
          <w:rStyle w:val="VerbatimChar"/>
        </w:rPr>
        <w:t xml:space="preserve">biblio-glutton</w:t>
      </w:r>
      <w:r>
        <w:t xml:space="preserve"> </w:t>
      </w:r>
      <w:r>
        <w:t xml:space="preserve">service. An entity disambiguation is realized in context using</w:t>
      </w:r>
      <w:r>
        <w:t xml:space="preserve"> </w:t>
      </w:r>
      <w:r>
        <w:rPr>
          <w:rStyle w:val="VerbatimChar"/>
        </w:rPr>
        <w:t xml:space="preserve">entity-fishing</w:t>
      </w:r>
      <w:r>
        <w:t xml:space="preserve"> </w:t>
      </w:r>
      <w:r>
        <w:t xml:space="preserve">for every software mention candidates. If the candidates is significantly more likely scientific entities different from a software, the candidates are discarded to avoid likely false positives. Otherwise, if the software entity is a known disambiguated software present in Wikidata, the entity is linked via the resulting Q Wikidata identifier. Finally a document-level propagation is realized to identified possible overlooked software name matches in the same article in order to improve recall.</w:t>
      </w:r>
    </w:p>
    <w:p>
      <w:pPr>
        <w:pStyle w:val="BodyText"/>
      </w:pPr>
      <w:r>
        <w:t xml:space="preserve">The additional external services used in the process:</w:t>
      </w:r>
    </w:p>
    <w:p>
      <w:pPr>
        <w:numPr>
          <w:ilvl w:val="0"/>
          <w:numId w:val="1010"/>
        </w:numPr>
      </w:pPr>
      <w:r>
        <w:rPr>
          <w:b/>
        </w:rPr>
        <w:t xml:space="preserve">biblio-glutton</w:t>
      </w:r>
      <w:r>
        <w:t xml:space="preserve">, a large scale and fast bibliographical reference provision and matching service. Bibliographical references attached to software mentions are matched against CrossRef DOI using a 2 stage approach: blocking based on fuzzy text matching and pairwise matching for bibliographical structure comparison.</w:t>
      </w:r>
    </w:p>
    <w:p>
      <w:pPr>
        <w:numPr>
          <w:ilvl w:val="0"/>
          <w:numId w:val="1010"/>
        </w:numPr>
      </w:pPr>
      <w:r>
        <w:rPr>
          <w:b/>
        </w:rPr>
        <w:t xml:space="preserve">entity-fishing</w:t>
      </w:r>
      <w:r>
        <w:t xml:space="preserve">, a Wikidata entity linking tool, used to disambiguate candidate software names in context. If the candidate name is disambiguated as an entity that is not a software with high confidence (e.g. very likely the name of a protein or a project), we consider the candidate as a false positive and we filter it out. As a by-product, some positive candidates are disambiguated against known software present in Wikidata (around 12K software entities, excluding games), further enriching the extracted software mentions.</w:t>
      </w:r>
    </w:p>
    <w:bookmarkEnd w:id="46"/>
    <w:bookmarkStart w:id="47" w:name="evaluation"/>
    <w:p>
      <w:pPr>
        <w:pStyle w:val="Heading3"/>
      </w:pPr>
      <w:r>
        <w:t xml:space="preserve">Evaluation</w:t>
      </w:r>
    </w:p>
    <w:p>
      <w:pPr>
        <w:pStyle w:val="FirstParagraph"/>
      </w:pPr>
      <w:r>
        <w:t xml:space="preserve">The following tables present the evaluation of the two main models involved in the identification of software mentions, based on version</w:t>
      </w:r>
      <w:r>
        <w:t xml:space="preserve"> </w:t>
      </w:r>
      <w:r>
        <w:rPr>
          <w:rStyle w:val="VerbatimChar"/>
        </w:rPr>
        <w:t xml:space="preserve">0.7.2</w:t>
      </w:r>
      <w:r>
        <w:t xml:space="preserve"> </w:t>
      </w:r>
      <w:r>
        <w:t xml:space="preserve">of the Softcite software mention recognizer and the updated version 2.0 of the Softcite dataset.</w:t>
      </w:r>
    </w:p>
    <w:p>
      <w:pPr>
        <w:pStyle w:val="BodyText"/>
      </w:pPr>
      <w:r>
        <w:rPr>
          <w:b/>
        </w:rPr>
        <w:t xml:space="preserve">Software mentions and attributes</w:t>
      </w:r>
    </w:p>
    <w:p>
      <w:pPr>
        <w:pStyle w:val="BodyText"/>
      </w:pPr>
      <w:r>
        <w:t xml:space="preserve">Similarly to the work in</w:t>
      </w:r>
      <w:r>
        <w:t xml:space="preserve"> </w:t>
      </w:r>
      <w:r>
        <w:t xml:space="preserve">(Lopez et al. 2021)</w:t>
      </w:r>
      <w:r>
        <w:t xml:space="preserve">, to evaluate the model on the actual distribution of software mentions in scientific articles, we have reused an</w:t>
      </w:r>
      <w:r>
        <w:t xml:space="preserve"> </w:t>
      </w:r>
      <w:r>
        <w:rPr>
          <w:b/>
        </w:rPr>
        <w:t xml:space="preserve">holdout set</w:t>
      </w:r>
      <w:r>
        <w:t xml:space="preserve"> </w:t>
      </w:r>
      <w:r>
        <w:t xml:space="preserve">containing the complete full text of 20% the Softcite Dataset documents (994 articles), reproducing the overall distribution of documents with annotation (29.0%), the distribution between Biomedicine and Economics fields, and using a stratified sampling to reproduce the overall distribution of mentions per document.</w:t>
      </w:r>
      <w:r>
        <w:t xml:space="preserve"> </w:t>
      </w:r>
      <w:r>
        <w:t xml:space="preserve">The</w:t>
      </w:r>
      <w:r>
        <w:t xml:space="preserve"> </w:t>
      </w:r>
      <w:r>
        <w:rPr>
          <w:b/>
        </w:rPr>
        <w:t xml:space="preserve">holdout set</w:t>
      </w:r>
      <w:r>
        <w:t xml:space="preserve"> </w:t>
      </w:r>
      <w:r>
        <w:t xml:space="preserve">reproduce therefore a realistic distribution of software mentions and can be used to produce stable evaluation using different version of the training data. We used the remaining 80% of documents (3,977 articles), divided at paragraph-level into positive (1,886 paragraphs with at least one manual annotation) and negative (612,597 paragraphs without manual annotations). To optimize the balance between positive and negative sampling for the real distribution, the final model was trained on the 1,886 positive paragraphs of the Softcite dataset and a set a of 50,000 negative paragraphs selected with active sampling as described in</w:t>
      </w:r>
      <w:r>
        <w:t xml:space="preserve"> </w:t>
      </w:r>
      <w:r>
        <w:t xml:space="preserve">(Lopez et al. 2021)</w:t>
      </w:r>
      <w:r>
        <w:t xml:space="preserve">.</w:t>
      </w:r>
    </w:p>
    <w:p>
      <w:pPr>
        <w:pStyle w:val="BodyText"/>
      </w:pPr>
      <w:r>
        <w:t xml:space="preserve">Our best model is a fine-tuned LinkBERT base model</w:t>
      </w:r>
      <w:r>
        <w:t xml:space="preserve"> </w:t>
      </w:r>
      <w:r>
        <w:t xml:space="preserve">(Yasunaga, Leskovec, and Liang 2022)</w:t>
      </w:r>
      <w:r>
        <w:t xml:space="preserve"> </w:t>
      </w:r>
      <w:r>
        <w:t xml:space="preserve">with an additional CRF activation layer, which performs slighly but consistently better for this task than a fine-tuned SciBERT model.</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recall</w:t>
            </w:r>
          </w:p>
        </w:tc>
        <w:tc>
          <w:tcPr>
            <w:tcBorders>
              <w:bottom w:val="single"/>
            </w:tcBorders>
            <w:vAlign w:val="bottom"/>
          </w:tcPr>
          <w:p>
            <w:pPr>
              <w:pStyle w:val="Compact"/>
              <w:jc w:val="left"/>
            </w:pPr>
            <w:r>
              <w:rPr>
                <w:b/>
              </w:rPr>
              <w:t xml:space="preserve">F1-score</w:t>
            </w:r>
          </w:p>
        </w:tc>
        <w:tc>
          <w:tcPr>
            <w:tcBorders>
              <w:bottom w:val="single"/>
            </w:tcBorders>
            <w:vAlign w:val="bottom"/>
          </w:tcPr>
          <w:p>
            <w:pPr>
              <w:pStyle w:val="Compact"/>
              <w:jc w:val="left"/>
            </w:pPr>
            <w:r>
              <w:t xml:space="preserve">support</w:t>
            </w:r>
          </w:p>
        </w:tc>
      </w:tr>
      <w:tr>
        <w:tc>
          <w:p>
            <w:pPr>
              <w:pStyle w:val="Compact"/>
              <w:jc w:val="left"/>
            </w:pPr>
            <w:r>
              <w:rPr>
                <w:b/>
              </w:rPr>
              <w:t xml:space="preserve">publisher</w:t>
            </w:r>
          </w:p>
        </w:tc>
        <w:tc>
          <w:p>
            <w:pPr>
              <w:pStyle w:val="Compact"/>
              <w:jc w:val="left"/>
            </w:pPr>
            <w:r>
              <w:t xml:space="preserve">75.51</w:t>
            </w:r>
          </w:p>
        </w:tc>
        <w:tc>
          <w:p>
            <w:pPr>
              <w:pStyle w:val="Compact"/>
              <w:jc w:val="left"/>
            </w:pPr>
            <w:r>
              <w:t xml:space="preserve">88.80</w:t>
            </w:r>
          </w:p>
        </w:tc>
        <w:tc>
          <w:p>
            <w:pPr>
              <w:pStyle w:val="Compact"/>
              <w:jc w:val="left"/>
            </w:pPr>
            <w:r>
              <w:rPr>
                <w:b/>
              </w:rPr>
              <w:t xml:space="preserve">81.62</w:t>
            </w:r>
          </w:p>
        </w:tc>
        <w:tc>
          <w:p>
            <w:pPr>
              <w:pStyle w:val="Compact"/>
              <w:jc w:val="left"/>
            </w:pPr>
            <w:r>
              <w:t xml:space="preserve">250</w:t>
            </w:r>
          </w:p>
        </w:tc>
      </w:tr>
      <w:tr>
        <w:tc>
          <w:p>
            <w:pPr>
              <w:pStyle w:val="Compact"/>
              <w:jc w:val="left"/>
            </w:pPr>
            <w:r>
              <w:rPr>
                <w:b/>
              </w:rPr>
              <w:t xml:space="preserve">software</w:t>
            </w:r>
          </w:p>
        </w:tc>
        <w:tc>
          <w:p>
            <w:pPr>
              <w:pStyle w:val="Compact"/>
              <w:jc w:val="left"/>
            </w:pPr>
            <w:r>
              <w:t xml:space="preserve">74.01</w:t>
            </w:r>
          </w:p>
        </w:tc>
        <w:tc>
          <w:p>
            <w:pPr>
              <w:pStyle w:val="Compact"/>
              <w:jc w:val="left"/>
            </w:pPr>
            <w:r>
              <w:t xml:space="preserve">88.98</w:t>
            </w:r>
          </w:p>
        </w:tc>
        <w:tc>
          <w:p>
            <w:pPr>
              <w:pStyle w:val="Compact"/>
              <w:jc w:val="left"/>
            </w:pPr>
            <w:r>
              <w:rPr>
                <w:b/>
              </w:rPr>
              <w:t xml:space="preserve">80.81</w:t>
            </w:r>
          </w:p>
        </w:tc>
        <w:tc>
          <w:p>
            <w:pPr>
              <w:pStyle w:val="Compact"/>
              <w:jc w:val="left"/>
            </w:pPr>
            <w:r>
              <w:t xml:space="preserve">989</w:t>
            </w:r>
          </w:p>
        </w:tc>
      </w:tr>
      <w:tr>
        <w:tc>
          <w:p>
            <w:pPr>
              <w:pStyle w:val="Compact"/>
              <w:jc w:val="left"/>
            </w:pPr>
            <w:r>
              <w:rPr>
                <w:b/>
              </w:rPr>
              <w:t xml:space="preserve">url</w:t>
            </w:r>
          </w:p>
        </w:tc>
        <w:tc>
          <w:p>
            <w:pPr>
              <w:pStyle w:val="Compact"/>
              <w:jc w:val="left"/>
            </w:pPr>
            <w:r>
              <w:t xml:space="preserve">53.97</w:t>
            </w:r>
          </w:p>
        </w:tc>
        <w:tc>
          <w:p>
            <w:pPr>
              <w:pStyle w:val="Compact"/>
              <w:jc w:val="left"/>
            </w:pPr>
            <w:r>
              <w:t xml:space="preserve">82.93</w:t>
            </w:r>
          </w:p>
        </w:tc>
        <w:tc>
          <w:p>
            <w:pPr>
              <w:pStyle w:val="Compact"/>
              <w:jc w:val="left"/>
            </w:pPr>
            <w:r>
              <w:rPr>
                <w:b/>
              </w:rPr>
              <w:t xml:space="preserve">65.38</w:t>
            </w:r>
          </w:p>
        </w:tc>
        <w:tc>
          <w:p>
            <w:pPr>
              <w:pStyle w:val="Compact"/>
              <w:jc w:val="left"/>
            </w:pPr>
            <w:r>
              <w:t xml:space="preserve">41</w:t>
            </w:r>
          </w:p>
        </w:tc>
      </w:tr>
      <w:tr>
        <w:tc>
          <w:p>
            <w:pPr>
              <w:pStyle w:val="Compact"/>
              <w:jc w:val="left"/>
            </w:pPr>
            <w:r>
              <w:rPr>
                <w:b/>
              </w:rPr>
              <w:t xml:space="preserve">version</w:t>
            </w:r>
          </w:p>
        </w:tc>
        <w:tc>
          <w:p>
            <w:pPr>
              <w:pStyle w:val="Compact"/>
              <w:jc w:val="left"/>
            </w:pPr>
            <w:r>
              <w:t xml:space="preserve">83.99</w:t>
            </w:r>
          </w:p>
        </w:tc>
        <w:tc>
          <w:p>
            <w:pPr>
              <w:pStyle w:val="Compact"/>
              <w:jc w:val="left"/>
            </w:pPr>
            <w:r>
              <w:t xml:space="preserve">90.81</w:t>
            </w:r>
          </w:p>
        </w:tc>
        <w:tc>
          <w:p>
            <w:pPr>
              <w:pStyle w:val="Compact"/>
              <w:jc w:val="left"/>
            </w:pPr>
            <w:r>
              <w:rPr>
                <w:b/>
              </w:rPr>
              <w:t xml:space="preserve">87.27</w:t>
            </w:r>
          </w:p>
        </w:tc>
        <w:tc>
          <w:p>
            <w:pPr>
              <w:pStyle w:val="Compact"/>
              <w:jc w:val="left"/>
            </w:pPr>
            <w:r>
              <w:t xml:space="preserve">283</w:t>
            </w:r>
          </w:p>
        </w:tc>
      </w:tr>
      <w:tr>
        <w:tc>
          <w:p/>
        </w:tc>
        <w:tc>
          <w:p/>
        </w:tc>
        <w:tc>
          <w:p/>
        </w:tc>
        <w:tc>
          <w:p/>
        </w:tc>
        <w:tc>
          <w:p/>
        </w:tc>
      </w:tr>
      <w:tr>
        <w:tc>
          <w:p>
            <w:pPr>
              <w:pStyle w:val="Compact"/>
              <w:jc w:val="left"/>
            </w:pPr>
            <w:r>
              <w:rPr>
                <w:b/>
              </w:rPr>
              <w:t xml:space="preserve">all</w:t>
            </w:r>
            <w:r>
              <w:t xml:space="preserve"> </w:t>
            </w:r>
            <w:r>
              <w:t xml:space="preserve">(micro avg.)</w:t>
            </w:r>
          </w:p>
        </w:tc>
        <w:tc>
          <w:p>
            <w:pPr>
              <w:pStyle w:val="Compact"/>
              <w:jc w:val="left"/>
            </w:pPr>
            <w:r>
              <w:t xml:space="preserve">75.22</w:t>
            </w:r>
          </w:p>
        </w:tc>
        <w:tc>
          <w:p>
            <w:pPr>
              <w:pStyle w:val="Compact"/>
              <w:jc w:val="left"/>
            </w:pPr>
            <w:r>
              <w:t xml:space="preserve">89.12</w:t>
            </w:r>
          </w:p>
        </w:tc>
        <w:tc>
          <w:p>
            <w:pPr>
              <w:pStyle w:val="Compact"/>
              <w:jc w:val="left"/>
            </w:pPr>
            <w:r>
              <w:rPr>
                <w:b/>
              </w:rPr>
              <w:t xml:space="preserve">81.58</w:t>
            </w:r>
          </w:p>
        </w:tc>
        <w:tc>
          <w:p>
            <w:pPr>
              <w:pStyle w:val="Compact"/>
              <w:jc w:val="left"/>
            </w:pPr>
            <w:r>
              <w:t xml:space="preserve">1563</w:t>
            </w:r>
          </w:p>
        </w:tc>
      </w:tr>
    </w:tbl>
    <w:p>
      <w:pPr>
        <w:pStyle w:val="BodyText"/>
      </w:pPr>
      <w:r>
        <w:rPr>
          <w:b/>
        </w:rPr>
        <w:t xml:space="preserve">Software type refinement</w:t>
      </w:r>
    </w:p>
    <w:p>
      <w:pPr>
        <w:pStyle w:val="BodyText"/>
      </w:pPr>
      <w:r>
        <w:t xml:space="preserve">We report the evaluation of our best model for the typing of software mentions, a fine-tuned SciBERT model with an additional CRF activation layer. Because this model is applied only to sequences where at least one software mention has been identified previously, the label distribution of the input for prediction is the same as the one in the training data. Scores are thus produced using 10-fold cross-validation on a training set based on all the paragraph with at least one annnotated software.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recall</w:t>
            </w:r>
          </w:p>
        </w:tc>
        <w:tc>
          <w:tcPr>
            <w:tcBorders>
              <w:bottom w:val="single"/>
            </w:tcBorders>
            <w:vAlign w:val="bottom"/>
          </w:tcPr>
          <w:p>
            <w:pPr>
              <w:pStyle w:val="Compact"/>
              <w:jc w:val="left"/>
            </w:pPr>
            <w:r>
              <w:rPr>
                <w:b/>
              </w:rPr>
              <w:t xml:space="preserve">F1-score</w:t>
            </w:r>
          </w:p>
        </w:tc>
        <w:tc>
          <w:tcPr>
            <w:tcBorders>
              <w:bottom w:val="single"/>
            </w:tcBorders>
            <w:vAlign w:val="bottom"/>
          </w:tcPr>
          <w:p>
            <w:pPr>
              <w:pStyle w:val="Compact"/>
              <w:jc w:val="left"/>
            </w:pPr>
            <w:r>
              <w:t xml:space="preserve">support</w:t>
            </w:r>
          </w:p>
        </w:tc>
      </w:tr>
      <w:tr>
        <w:tc>
          <w:p>
            <w:pPr>
              <w:pStyle w:val="Compact"/>
              <w:jc w:val="left"/>
            </w:pPr>
            <w:r>
              <w:rPr>
                <w:b/>
              </w:rPr>
              <w:t xml:space="preserve">component</w:t>
            </w:r>
          </w:p>
        </w:tc>
        <w:tc>
          <w:p>
            <w:pPr>
              <w:pStyle w:val="Compact"/>
              <w:jc w:val="left"/>
            </w:pPr>
            <w:r>
              <w:t xml:space="preserve">71.43</w:t>
            </w:r>
          </w:p>
        </w:tc>
        <w:tc>
          <w:p>
            <w:pPr>
              <w:pStyle w:val="Compact"/>
              <w:jc w:val="left"/>
            </w:pPr>
            <w:r>
              <w:t xml:space="preserve">71.43</w:t>
            </w:r>
          </w:p>
        </w:tc>
        <w:tc>
          <w:p>
            <w:pPr>
              <w:pStyle w:val="Compact"/>
              <w:jc w:val="left"/>
            </w:pPr>
            <w:r>
              <w:rPr>
                <w:b/>
              </w:rPr>
              <w:t xml:space="preserve">71.43</w:t>
            </w:r>
          </w:p>
        </w:tc>
        <w:tc>
          <w:p>
            <w:pPr>
              <w:pStyle w:val="Compact"/>
              <w:jc w:val="left"/>
            </w:pPr>
            <w:r>
              <w:t xml:space="preserve">7</w:t>
            </w:r>
          </w:p>
        </w:tc>
      </w:tr>
      <w:tr>
        <w:tc>
          <w:p>
            <w:pPr>
              <w:pStyle w:val="Compact"/>
              <w:jc w:val="left"/>
            </w:pPr>
            <w:r>
              <w:rPr>
                <w:b/>
              </w:rPr>
              <w:t xml:space="preserve">environment</w:t>
            </w:r>
          </w:p>
        </w:tc>
        <w:tc>
          <w:p>
            <w:pPr>
              <w:pStyle w:val="Compact"/>
              <w:jc w:val="left"/>
            </w:pPr>
            <w:r>
              <w:t xml:space="preserve">83.33</w:t>
            </w:r>
          </w:p>
        </w:tc>
        <w:tc>
          <w:p>
            <w:pPr>
              <w:pStyle w:val="Compact"/>
              <w:jc w:val="left"/>
            </w:pPr>
            <w:r>
              <w:t xml:space="preserve">83.33</w:t>
            </w:r>
          </w:p>
        </w:tc>
        <w:tc>
          <w:p>
            <w:pPr>
              <w:pStyle w:val="Compact"/>
              <w:jc w:val="left"/>
            </w:pPr>
            <w:r>
              <w:rPr>
                <w:b/>
              </w:rPr>
              <w:t xml:space="preserve">83.33</w:t>
            </w:r>
          </w:p>
        </w:tc>
        <w:tc>
          <w:p>
            <w:pPr>
              <w:pStyle w:val="Compact"/>
              <w:jc w:val="left"/>
            </w:pPr>
            <w:r>
              <w:t xml:space="preserve">102</w:t>
            </w:r>
          </w:p>
        </w:tc>
      </w:tr>
      <w:tr>
        <w:tc>
          <w:p>
            <w:pPr>
              <w:pStyle w:val="Compact"/>
              <w:jc w:val="left"/>
            </w:pPr>
            <w:r>
              <w:rPr>
                <w:b/>
              </w:rPr>
              <w:t xml:space="preserve">implicit</w:t>
            </w:r>
          </w:p>
        </w:tc>
        <w:tc>
          <w:p>
            <w:pPr>
              <w:pStyle w:val="Compact"/>
              <w:jc w:val="left"/>
            </w:pPr>
            <w:r>
              <w:t xml:space="preserve">72.73</w:t>
            </w:r>
          </w:p>
        </w:tc>
        <w:tc>
          <w:p>
            <w:pPr>
              <w:pStyle w:val="Compact"/>
              <w:jc w:val="left"/>
            </w:pPr>
            <w:r>
              <w:t xml:space="preserve">57.14</w:t>
            </w:r>
          </w:p>
        </w:tc>
        <w:tc>
          <w:p>
            <w:pPr>
              <w:pStyle w:val="Compact"/>
              <w:jc w:val="left"/>
            </w:pPr>
            <w:r>
              <w:rPr>
                <w:b/>
              </w:rPr>
              <w:t xml:space="preserve">64.00</w:t>
            </w:r>
          </w:p>
        </w:tc>
        <w:tc>
          <w:p>
            <w:pPr>
              <w:pStyle w:val="Compact"/>
              <w:jc w:val="left"/>
            </w:pPr>
            <w:r>
              <w:t xml:space="preserve">14</w:t>
            </w:r>
          </w:p>
        </w:tc>
      </w:tr>
      <w:tr>
        <w:tc>
          <w:p>
            <w:pPr>
              <w:pStyle w:val="Compact"/>
              <w:jc w:val="left"/>
            </w:pPr>
            <w:r>
              <w:rPr>
                <w:b/>
              </w:rPr>
              <w:t xml:space="preserve">language</w:t>
            </w:r>
          </w:p>
        </w:tc>
        <w:tc>
          <w:p>
            <w:pPr>
              <w:pStyle w:val="Compact"/>
              <w:jc w:val="left"/>
            </w:pPr>
            <w:r>
              <w:t xml:space="preserve">100.00</w:t>
            </w:r>
          </w:p>
        </w:tc>
        <w:tc>
          <w:p>
            <w:pPr>
              <w:pStyle w:val="Compact"/>
              <w:jc w:val="left"/>
            </w:pPr>
            <w:r>
              <w:t xml:space="preserve">61.54</w:t>
            </w:r>
          </w:p>
        </w:tc>
        <w:tc>
          <w:p>
            <w:pPr>
              <w:pStyle w:val="Compact"/>
              <w:jc w:val="left"/>
            </w:pPr>
            <w:r>
              <w:rPr>
                <w:b/>
              </w:rPr>
              <w:t xml:space="preserve">76.19</w:t>
            </w:r>
          </w:p>
        </w:tc>
        <w:tc>
          <w:p>
            <w:pPr>
              <w:pStyle w:val="Compact"/>
              <w:jc w:val="left"/>
            </w:pPr>
            <w:r>
              <w:t xml:space="preserve">13</w:t>
            </w:r>
          </w:p>
        </w:tc>
      </w:tr>
      <w:tr>
        <w:tc>
          <w:p/>
        </w:tc>
        <w:tc>
          <w:p/>
        </w:tc>
        <w:tc>
          <w:p/>
        </w:tc>
        <w:tc>
          <w:p/>
        </w:tc>
        <w:tc>
          <w:p/>
        </w:tc>
      </w:tr>
      <w:tr>
        <w:tc>
          <w:p>
            <w:pPr>
              <w:pStyle w:val="Compact"/>
              <w:jc w:val="left"/>
            </w:pPr>
            <w:r>
              <w:rPr>
                <w:b/>
              </w:rPr>
              <w:t xml:space="preserve">all</w:t>
            </w:r>
            <w:r>
              <w:t xml:space="preserve"> </w:t>
            </w:r>
            <w:r>
              <w:t xml:space="preserve">(micro avg.)</w:t>
            </w:r>
          </w:p>
        </w:tc>
        <w:tc>
          <w:p>
            <w:pPr>
              <w:pStyle w:val="Compact"/>
              <w:jc w:val="left"/>
            </w:pPr>
            <w:r>
              <w:t xml:space="preserve">82.81</w:t>
            </w:r>
          </w:p>
        </w:tc>
        <w:tc>
          <w:p>
            <w:pPr>
              <w:pStyle w:val="Compact"/>
              <w:jc w:val="left"/>
            </w:pPr>
            <w:r>
              <w:t xml:space="preserve">77.94</w:t>
            </w:r>
          </w:p>
        </w:tc>
        <w:tc>
          <w:p>
            <w:pPr>
              <w:pStyle w:val="Compact"/>
              <w:jc w:val="left"/>
            </w:pPr>
            <w:r>
              <w:rPr>
                <w:b/>
              </w:rPr>
              <w:t xml:space="preserve">80.30</w:t>
            </w:r>
          </w:p>
        </w:tc>
        <w:tc>
          <w:p>
            <w:pPr>
              <w:pStyle w:val="Compact"/>
              <w:jc w:val="left"/>
            </w:pPr>
            <w:r>
              <w:t xml:space="preserve">136</w:t>
            </w:r>
          </w:p>
        </w:tc>
      </w:tr>
    </w:tbl>
    <w:bookmarkEnd w:id="47"/>
    <w:bookmarkEnd w:id="48"/>
    <w:bookmarkStart w:id="60" w:name="research-datasets"/>
    <w:p>
      <w:pPr>
        <w:pStyle w:val="Heading2"/>
      </w:pPr>
      <w:r>
        <w:t xml:space="preserve">2.3 Research datasets</w:t>
      </w:r>
    </w:p>
    <w:bookmarkStart w:id="49" w:name="existing-work"/>
    <w:p>
      <w:pPr>
        <w:pStyle w:val="Heading3"/>
      </w:pPr>
      <w:r>
        <w:t xml:space="preserve">Existing work</w:t>
      </w:r>
    </w:p>
    <w:p>
      <w:pPr>
        <w:pStyle w:val="FirstParagraph"/>
      </w:pPr>
      <w:r>
        <w:t xml:space="preserve">Following the success of CrossRef DOI for identifying publications, some researchers have advocated the use of persistent identifiers to research data as a long-term solution to addressing data mention detection and disambiguation</w:t>
      </w:r>
      <w:r>
        <w:t xml:space="preserve"> </w:t>
      </w:r>
      <w:r>
        <w:t xml:space="preserve">(Cousijn and Simons 2019)</w:t>
      </w:r>
      <w:r>
        <w:t xml:space="preserve">. However, in view of the slow adoption and usage of PID for data citations, recent works are exploring methods for detecting and linking informal data mentions from article full-texts. Similarly to softare mentions, as data citations are inconsistent, vague, incomplete and indirect</w:t>
      </w:r>
      <w:r>
        <w:t xml:space="preserve"> </w:t>
      </w:r>
      <w:r>
        <w:t xml:space="preserve">(MOONEY 2011)</w:t>
      </w:r>
      <w:r>
        <w:t xml:space="preserve">, detecting information data citations must rely on NLP techniques, and more particularly on the accurate and robust modern machine learning techniques.</w:t>
      </w:r>
    </w:p>
    <w:p>
      <w:pPr>
        <w:pStyle w:val="BodyText"/>
      </w:pPr>
      <w:r>
        <w:t xml:space="preserve">… using GROBID</w:t>
      </w:r>
      <w:r>
        <w:t xml:space="preserve"> </w:t>
      </w:r>
      <w:r>
        <w:t xml:space="preserve">(Lafia, Fan, and Hemphill 2022)</w:t>
      </w:r>
      <w:r>
        <w:t xml:space="preserve">… (however here dataset and model not shared)</w:t>
      </w:r>
    </w:p>
    <w:bookmarkEnd w:id="49"/>
    <w:bookmarkStart w:id="56" w:name="data-model-and-training-data-1"/>
    <w:p>
      <w:pPr>
        <w:pStyle w:val="Heading3"/>
      </w:pPr>
      <w:r>
        <w:t xml:space="preserve">Data model and training data</w:t>
      </w:r>
    </w:p>
    <w:p>
      <w:pPr>
        <w:pStyle w:val="FirstParagraph"/>
      </w:pPr>
      <w:r>
        <w:t xml:space="preserve">Dataset mentions are usually less complex that software mentions, but the exact scope of</w:t>
      </w:r>
      <w:r>
        <w:t xml:space="preserve"> </w:t>
      </w:r>
      <w:r>
        <w:t xml:space="preserve">“</w:t>
      </w:r>
      <w:r>
        <w:t xml:space="preserve">research datasets</w:t>
      </w:r>
      <w:r>
        <w:t xml:space="preserve">”</w:t>
      </w:r>
      <w:r>
        <w:t xml:space="preserve"> </w:t>
      </w:r>
      <w:r>
        <w:t xml:space="preserve">still varies from one existing work/annotated corpus to another and needs some clarifications.</w:t>
      </w:r>
    </w:p>
    <w:bookmarkStart w:id="50" w:name="Xb23e368e67caee365bbf7eede57bae432f98207"/>
    <w:p>
      <w:pPr>
        <w:pStyle w:val="Heading4"/>
      </w:pPr>
      <w:r>
        <w:t xml:space="preserve">Implicit versus explicit research datasets</w:t>
      </w:r>
    </w:p>
    <w:p>
      <w:pPr>
        <w:pStyle w:val="FirstParagraph"/>
      </w:pPr>
      <w:r>
        <w:t xml:space="preserve">Although the production of various data is very common is a scientific work, a large amount of the raw data discussed in scientific articles are actually not named, not curated and not shared. For examples:</w:t>
      </w:r>
    </w:p>
    <w:p>
      <w:pPr>
        <w:pStyle w:val="SourceCode"/>
      </w:pPr>
      <w:r>
        <w:rPr>
          <w:rStyle w:val="VerbatimChar"/>
        </w:rPr>
        <w:t xml:space="preserve">The 47 tilapia DNA samples were sent to Beijing Genome Institute (BGI) for 101 bp </w:t>
      </w:r>
      <w:r>
        <w:br/>
      </w:r>
      <w:r>
        <w:rPr>
          <w:rStyle w:val="VerbatimChar"/>
        </w:rPr>
        <w:t xml:space="preserve">paired-end sequencing using Illumina Hiseq 2500. </w:t>
      </w:r>
    </w:p>
    <w:p>
      <w:pPr>
        <w:pStyle w:val="FirstParagraph"/>
      </w:pPr>
      <w:r>
        <w:t xml:space="preserve">The Illumina Hiseq 2500 device produces sequencing data, which are part of the described study. These sequencing data are however not named and not shared, they remain implicit.</w:t>
      </w:r>
    </w:p>
    <w:p>
      <w:pPr>
        <w:pStyle w:val="BodyText"/>
      </w:pPr>
      <w:r>
        <w:t xml:space="preserve">We define this sort of research data as</w:t>
      </w:r>
      <w:r>
        <w:t xml:space="preserve"> </w:t>
      </w:r>
      <w:r>
        <w:rPr>
          <w:i/>
        </w:rPr>
        <w:t xml:space="preserve">implicit dataset</w:t>
      </w:r>
      <w:r>
        <w:t xml:space="preserve">. These data are generally not considered as valuable by the researchers and often not in a sharable state (proprietary format, embedded as project resources). We consider fully automatic recognition of this kind of datasets currently beyond what is feasable given the current existing annotated corpus and machine learning technique accuracy.</w:t>
      </w:r>
    </w:p>
    <w:p>
      <w:pPr>
        <w:pStyle w:val="BodyText"/>
      </w:pPr>
      <w:r>
        <w:t xml:space="preserve">In contrast, in this work, we focus on</w:t>
      </w:r>
      <w:r>
        <w:t xml:space="preserve"> </w:t>
      </w:r>
      <w:r>
        <w:rPr>
          <w:i/>
        </w:rPr>
        <w:t xml:space="preserve">explicitly mentioned datasets</w:t>
      </w:r>
      <w:r>
        <w:t xml:space="preserve">:</w:t>
      </w:r>
      <w:r>
        <w:t xml:space="preserve"> </w:t>
      </w:r>
      <w:r>
        <w:t xml:space="preserve">- named datasets</w:t>
      </w:r>
      <w:r>
        <w:t xml:space="preserve"> </w:t>
      </w:r>
      <w:r>
        <w:t xml:space="preserve">- datasets without name, but explicitely mentioned as existing data</w:t>
      </w:r>
    </w:p>
    <w:p>
      <w:pPr>
        <w:pStyle w:val="BodyText"/>
      </w:pPr>
      <w:r>
        <w:rPr>
          <w:i/>
        </w:rPr>
        <w:t xml:space="preserve">Explicitly mentioned datasets</w:t>
      </w:r>
      <w:r>
        <w:t xml:space="preserve"> </w:t>
      </w:r>
      <w:r>
        <w:t xml:space="preserve">are research data identified as such by the authors, discussed and considered valuable with respect to the scientific claims of the publication and usually available in a form that makes sharing possible.</w:t>
      </w:r>
    </w:p>
    <w:bookmarkEnd w:id="50"/>
    <w:bookmarkStart w:id="51" w:name="databases"/>
    <w:p>
      <w:pPr>
        <w:pStyle w:val="Heading4"/>
      </w:pPr>
      <w:r>
        <w:t xml:space="preserve">Databases</w:t>
      </w:r>
    </w:p>
    <w:p>
      <w:pPr>
        <w:pStyle w:val="FirstParagraph"/>
      </w:pPr>
      <w:r>
        <w:t xml:space="preserve">Is a mention to a database the same as a mention to a dataset? We consider that the answer depends on the context, whether the research work is actually refering to the data/dataset stored in the database or more generally to the software or the service associated to the database.</w:t>
      </w:r>
      <w:r>
        <w:t xml:space="preserve"> </w:t>
      </w:r>
      <w:r>
        <w:t xml:space="preserve">If some research data has been loaded and shared via this database, we can can consider in general that this data are packaged as a dataset.</w:t>
      </w:r>
      <w:r>
        <w:t xml:space="preserve"> </w:t>
      </w:r>
      <w:r>
        <w:t xml:space="preserve">On the other hand, a</w:t>
      </w:r>
      <w:r>
        <w:t xml:space="preserve"> </w:t>
      </w:r>
      <w:r>
        <w:t xml:space="preserve">“</w:t>
      </w:r>
      <w:r>
        <w:t xml:space="preserve">dataset</w:t>
      </w:r>
      <w:r>
        <w:t xml:space="preserve">”</w:t>
      </w:r>
      <w:r>
        <w:t xml:space="preserve"> </w:t>
      </w:r>
      <w:r>
        <w:t xml:space="preserve">can exists independently from a database management system and is not ambiguous with respect to its storage and software access environment.</w:t>
      </w:r>
    </w:p>
    <w:bookmarkEnd w:id="51"/>
    <w:bookmarkStart w:id="52" w:name="data-sharing-initiativeproject"/>
    <w:p>
      <w:pPr>
        <w:pStyle w:val="Heading4"/>
      </w:pPr>
      <w:r>
        <w:t xml:space="preserve">Data sharing initiative/project</w:t>
      </w:r>
    </w:p>
    <w:p>
      <w:pPr>
        <w:pStyle w:val="FirstParagraph"/>
      </w:pPr>
      <w:r>
        <w:t xml:space="preserve">It is frequent that a reference is made not and to a single dataset (with a dataset name), but to a collection of datasets developed by this initiative/project, with the name of a data sharing initiative/project. For example the Coleridge Kaggle dataset (which is a particularly imprecise and incomplete annotated corpus) is annotating the Alzheimer’s Disease Neuroimaging Initiative (ADNI) as a dataset name in the following context:</w:t>
      </w:r>
    </w:p>
    <w:p>
      <w:pPr>
        <w:pStyle w:val="SourceCode"/>
      </w:pPr>
      <w:r>
        <w:rPr>
          <w:rStyle w:val="VerbatimChar"/>
        </w:rPr>
        <w:t xml:space="preserve">Genome-wide pathway analysis of memory impairment in the Alzheimer’s Disease </w:t>
      </w:r>
      <w:r>
        <w:br/>
      </w:r>
      <w:r>
        <w:rPr>
          <w:rStyle w:val="VerbatimChar"/>
        </w:rPr>
        <w:t xml:space="preserve">Neuroimaging Initiative (ADNI) cohort implicates gene candidates, canonical pathways, </w:t>
      </w:r>
      <w:r>
        <w:br/>
      </w:r>
      <w:r>
        <w:rPr>
          <w:rStyle w:val="VerbatimChar"/>
        </w:rPr>
        <w:t xml:space="preserve">and networks.</w:t>
      </w:r>
    </w:p>
    <w:p>
      <w:pPr>
        <w:pStyle w:val="FirstParagraph"/>
      </w:pPr>
      <w:r>
        <w:t xml:space="preserve">We consider however that this not a standard dataset citation. It informs about the origin and location of some data used in the research work, but does not describe precisely which data is considered. Similarly, we can see references to a large project/collaboration/experiments (collaboration in the sense of HEP or Astronomy, such as ATLAS, CMS, LHCb), for actually referencing in general data produced/shared by the collaboration and not the collaboration itself. Such general reference is again not considered as a dataset mention.</w:t>
      </w:r>
    </w:p>
    <w:p>
      <w:pPr>
        <w:pStyle w:val="BodyText"/>
      </w:pPr>
      <w:r>
        <w:t xml:space="preserve">To summarize, we currently exclude these general mentions to such data initiatives and projects from our dataset extraction. Only mentions to individual research dataset or collection are considered as</w:t>
      </w:r>
      <w:r>
        <w:t xml:space="preserve"> </w:t>
      </w:r>
      <w:r>
        <w:t xml:space="preserve">“</w:t>
      </w:r>
      <w:r>
        <w:t xml:space="preserve">dataset</w:t>
      </w:r>
      <w:r>
        <w:t xml:space="preserve">”</w:t>
      </w:r>
      <w:r>
        <w:t xml:space="preserve">.</w:t>
      </w:r>
    </w:p>
    <w:bookmarkEnd w:id="52"/>
    <w:bookmarkStart w:id="53" w:name="accession-number"/>
    <w:p>
      <w:pPr>
        <w:pStyle w:val="Heading4"/>
      </w:pPr>
      <w:r>
        <w:t xml:space="preserve">Accession number</w:t>
      </w:r>
    </w:p>
    <w:p>
      <w:pPr>
        <w:pStyle w:val="FirstParagraph"/>
      </w:pPr>
      <w:r>
        <w:t xml:space="preserve">The references to an entry in a database, for instance via a unique identifier such as an accession number is considered as a valid mention to a dataset. The dataset here is defined by the combination of the data service and the identifier. For example:</w:t>
      </w:r>
    </w:p>
    <w:p>
      <w:pPr>
        <w:pStyle w:val="SourceCode"/>
      </w:pPr>
      <w:r>
        <w:rPr>
          <w:rStyle w:val="VerbatimChar"/>
        </w:rPr>
        <w:t xml:space="preserve">The RNA-seq data generated in this study have been deposited in DDBJ under accession </w:t>
      </w:r>
      <w:r>
        <w:br/>
      </w:r>
      <w:r>
        <w:rPr>
          <w:rStyle w:val="VerbatimChar"/>
        </w:rPr>
        <w:t xml:space="preserve">codes DRA001101 and DRA004790."</w:t>
      </w:r>
    </w:p>
    <w:p>
      <w:pPr>
        <w:pStyle w:val="FirstParagraph"/>
      </w:pPr>
      <w:r>
        <w:t xml:space="preserve">For a more detailed discussion and more examples, see https://github.com/Barometre-de-la-Science-Ouverte/bso3-techdoc/blob/master/doc/scope_and_sharing.md</w:t>
      </w:r>
    </w:p>
    <w:bookmarkEnd w:id="53"/>
    <w:bookmarkStart w:id="55" w:name="annotations-1"/>
    <w:p>
      <w:pPr>
        <w:pStyle w:val="Heading4"/>
      </w:pPr>
      <w:r>
        <w:t xml:space="preserve">Annotations</w:t>
      </w:r>
    </w:p>
    <w:p>
      <w:pPr>
        <w:pStyle w:val="FirstParagraph"/>
      </w:pPr>
      <w:r>
        <w:t xml:space="preserve">Developing an annotated corpus of dataset mentions entirely from scratch would not have been possible for this project, given that the Softcite dataset took several years of development and involved a total of 38 different human annotators. To train our dataset mention recognizer, we reused existing annotated corpus, re-annotated them to follow our guidelines and produce some additional annotations for a limited subset.</w:t>
      </w:r>
    </w:p>
    <w:p>
      <w:pPr>
        <w:pStyle w:val="BodyText"/>
      </w:pPr>
      <w:r>
        <w:t xml:space="preserve">To tackle the sparsity problem, we could not take advantage of the full text versions of the annotated articles. The existing training data are sets of positive sentences with at least one dataset annotation. There is no guarantee that the rest of these articles do not include other datasets and checking such a large amount of content is highly time-consuming. To mitiguate this issue, we separated the task in two steps, the first one to identify the data sentences in a complete article, and the second one to spot dataset mentions in selected data sentences. This two steps approach was already implemented in the DataSeer project and gave satisfactory performance. However, as the DataSeer annotated data has not been released publicly, we reused and developed ourself additional annotated data.</w:t>
      </w:r>
    </w:p>
    <w:p>
      <w:pPr>
        <w:pStyle w:val="BodyText"/>
      </w:pPr>
      <w:r>
        <w:t xml:space="preserve">For the dataset mention recognition, we use the following resources:</w:t>
      </w:r>
    </w:p>
    <w:p>
      <w:pPr>
        <w:numPr>
          <w:ilvl w:val="0"/>
          <w:numId w:val="1011"/>
        </w:numPr>
      </w:pPr>
      <w:r>
        <w:t xml:space="preserve">a re-annotated version of https://github.com/xjaeh/ner_dataset_recognition (</w:t>
      </w:r>
      <w:r>
        <w:rPr>
          <w:rStyle w:val="VerbatimChar"/>
        </w:rPr>
        <w:t xml:space="preserve">ner_dataset_recognition/</w:t>
      </w:r>
      <w:r>
        <w:t xml:space="preserve">), a set of 6,000 sentences in the IR/ML/NLP domain with 3,684 dataset mentions. We fully reviewed the dataset and re-annotated to follow our dataset annotation principles: it covers now new dataset (not just reused ones) and annotation is at dataset level (avoid one annotation for a conjunction expression of datasets).</w:t>
      </w:r>
    </w:p>
    <w:p>
      <w:pPr>
        <w:numPr>
          <w:ilvl w:val="0"/>
          <w:numId w:val="1011"/>
        </w:numPr>
      </w:pPr>
      <w:r>
        <w:t xml:space="preserve">a set of approx. 1000 sentences from PubMed Central full-texts with at least one dataset mention (explicit and implicit datasets) and partial data acquisition device annotations.</w:t>
      </w:r>
    </w:p>
    <w:p>
      <w:pPr>
        <w:pStyle w:val="FirstParagraph"/>
      </w:pPr>
      <w:r>
        <w:t xml:space="preserve">These resources were used to train a LinkBERT base model</w:t>
      </w:r>
      <w:r>
        <w:t xml:space="preserve"> </w:t>
      </w:r>
      <w:r>
        <w:t xml:space="preserve">(Yasunaga, Leskovec, and Liang 2022)</w:t>
      </w:r>
      <w:r>
        <w:t xml:space="preserve"> </w:t>
      </w:r>
      <w:r>
        <w:t xml:space="preserve">with an additional CRF activation layer.</w:t>
      </w:r>
    </w:p>
    <w:p>
      <w:pPr>
        <w:pStyle w:val="BodyText"/>
      </w:pPr>
      <w:r>
        <w:t xml:space="preserve">For the data sentence classification model, we used 2,000 positive sentences containing at least one dataset mention and 20,000 negative data sentences without dataset mention from PubMed Central full-texts and from the Coleridge dataset.</w:t>
      </w:r>
      <w:r>
        <w:rPr>
          <w:rStyle w:val="FootnoteReference"/>
        </w:rPr>
        <w:footnoteReference w:id="54"/>
      </w:r>
      <w:r>
        <w:t xml:space="preserve"> </w:t>
      </w:r>
      <w:r>
        <w:t xml:space="preserve">This dataset was used to train a LinkBERT base model binary classifier.</w:t>
      </w:r>
    </w:p>
    <w:bookmarkEnd w:id="55"/>
    <w:bookmarkEnd w:id="56"/>
    <w:bookmarkStart w:id="58" w:name="architecture-1"/>
    <w:p>
      <w:pPr>
        <w:pStyle w:val="Heading3"/>
      </w:pPr>
      <w:r>
        <w:t xml:space="preserve">Architecture</w:t>
      </w:r>
    </w:p>
    <w:p>
      <w:pPr>
        <w:pStyle w:val="CaptionedFigure"/>
      </w:pPr>
      <w:r>
        <w:drawing>
          <wp:inline>
            <wp:extent cx="5334000" cy="4000500"/>
            <wp:effectExtent b="0" l="0" r="0" t="0"/>
            <wp:docPr descr="Overview of the DataStet dataset mention recognition process." title="" id="1" name="Picture"/>
            <a:graphic>
              <a:graphicData uri="http://schemas.openxmlformats.org/drawingml/2006/picture">
                <pic:pic>
                  <pic:nvPicPr>
                    <pic:cNvPr descr="workflow_dataset_mention.pn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Overview of the DataStet dataset mention recognition process.</w:t>
      </w:r>
    </w:p>
    <w:p>
      <w:pPr>
        <w:pStyle w:val="BodyText"/>
      </w:pPr>
      <w:r>
        <w:t xml:space="preserve">The architecture and process are very similar to the ones of software mention recognition. The main difference is related to the two models applied to recognize dataset mentions. A first classification model is applied to every sentences of relevant section to determine if the sentence is describing or not a dataset. The second model is applied on positive data sentences to identify dataset mention spans and attributes like URL and bibliographical references. This division of the recognition task into two steps is introduced to mitigate the problem of lack of annotations for complete documents, mentioned in the previous section.</w:t>
      </w:r>
    </w:p>
    <w:bookmarkEnd w:id="58"/>
    <w:bookmarkStart w:id="59" w:name="current-performance"/>
    <w:p>
      <w:pPr>
        <w:pStyle w:val="Heading3"/>
      </w:pPr>
      <w:r>
        <w:t xml:space="preserve">Current performance</w:t>
      </w:r>
    </w:p>
    <w:p>
      <w:pPr>
        <w:pStyle w:val="FirstParagraph"/>
      </w:pPr>
      <w:r>
        <w:t xml:space="preserve">As presented above, in order to manage sparcity of dataset mentions, a first model is classifying if a sentence introduces a dataset or not. A 10-fold cross-validation on our dataset gives the following accuracy:</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recall</w:t>
            </w:r>
          </w:p>
        </w:tc>
        <w:tc>
          <w:tcPr>
            <w:tcBorders>
              <w:bottom w:val="single"/>
            </w:tcBorders>
            <w:vAlign w:val="bottom"/>
          </w:tcPr>
          <w:p>
            <w:pPr>
              <w:pStyle w:val="Compact"/>
              <w:jc w:val="left"/>
            </w:pPr>
            <w:r>
              <w:rPr>
                <w:b/>
              </w:rPr>
              <w:t xml:space="preserve">F1-score</w:t>
            </w:r>
          </w:p>
        </w:tc>
        <w:tc>
          <w:tcPr>
            <w:tcBorders>
              <w:bottom w:val="single"/>
            </w:tcBorders>
            <w:vAlign w:val="bottom"/>
          </w:tcPr>
          <w:p>
            <w:pPr>
              <w:pStyle w:val="Compact"/>
              <w:jc w:val="left"/>
            </w:pPr>
            <w:r>
              <w:t xml:space="preserve">support (10%)</w:t>
            </w:r>
          </w:p>
        </w:tc>
      </w:tr>
      <w:tr>
        <w:tc>
          <w:p>
            <w:pPr>
              <w:pStyle w:val="Compact"/>
              <w:jc w:val="left"/>
            </w:pPr>
            <w:r>
              <w:rPr>
                <w:b/>
              </w:rPr>
              <w:t xml:space="preserve">data setence</w:t>
            </w:r>
          </w:p>
        </w:tc>
        <w:tc>
          <w:p>
            <w:pPr>
              <w:pStyle w:val="Compact"/>
              <w:jc w:val="left"/>
            </w:pPr>
            <w:r>
              <w:t xml:space="preserve">93.70</w:t>
            </w:r>
          </w:p>
        </w:tc>
        <w:tc>
          <w:p>
            <w:pPr>
              <w:pStyle w:val="Compact"/>
              <w:jc w:val="left"/>
            </w:pPr>
            <w:r>
              <w:t xml:space="preserve">96.21</w:t>
            </w:r>
          </w:p>
        </w:tc>
        <w:tc>
          <w:p>
            <w:pPr>
              <w:pStyle w:val="Compact"/>
              <w:jc w:val="left"/>
            </w:pPr>
            <w:r>
              <w:t xml:space="preserve">94.94</w:t>
            </w:r>
          </w:p>
        </w:tc>
        <w:tc>
          <w:p>
            <w:pPr>
              <w:pStyle w:val="Compact"/>
              <w:jc w:val="left"/>
            </w:pPr>
            <w:r>
              <w:t xml:space="preserve">200</w:t>
            </w:r>
          </w:p>
        </w:tc>
      </w:tr>
      <w:tr>
        <w:tc>
          <w:p>
            <w:pPr>
              <w:pStyle w:val="Compact"/>
              <w:jc w:val="left"/>
            </w:pPr>
            <w:r>
              <w:rPr>
                <w:b/>
              </w:rPr>
              <w:t xml:space="preserve">not data sentence</w:t>
            </w:r>
          </w:p>
        </w:tc>
        <w:tc>
          <w:p>
            <w:pPr>
              <w:pStyle w:val="Compact"/>
              <w:jc w:val="left"/>
            </w:pPr>
            <w:r>
              <w:t xml:space="preserve">97.56</w:t>
            </w:r>
          </w:p>
        </w:tc>
        <w:tc>
          <w:p>
            <w:pPr>
              <w:pStyle w:val="Compact"/>
              <w:jc w:val="left"/>
            </w:pPr>
            <w:r>
              <w:t xml:space="preserve">95.92</w:t>
            </w:r>
          </w:p>
        </w:tc>
        <w:tc>
          <w:p>
            <w:pPr>
              <w:pStyle w:val="Compact"/>
              <w:jc w:val="left"/>
            </w:pPr>
            <w:r>
              <w:t xml:space="preserve">96.73</w:t>
            </w:r>
          </w:p>
        </w:tc>
        <w:tc>
          <w:p>
            <w:pPr>
              <w:pStyle w:val="Compact"/>
              <w:jc w:val="left"/>
            </w:pPr>
            <w:r>
              <w:t xml:space="preserve">2000</w:t>
            </w:r>
          </w:p>
        </w:tc>
      </w:tr>
    </w:tbl>
    <w:p>
      <w:pPr>
        <w:pStyle w:val="BodyText"/>
      </w:pPr>
      <w:r>
        <w:t xml:space="preserve">Similarly, we evaluate the mention recognition using 10-fold cross-validation on the annotated dataset. In the real application of the models, the second model is applied only to sentences detected as</w:t>
      </w:r>
      <w:r>
        <w:t xml:space="preserve"> </w:t>
      </w:r>
      <w:r>
        <w:t xml:space="preserve">“</w:t>
      </w:r>
      <w:r>
        <w:t xml:space="preserve">data sentence</w:t>
      </w:r>
      <w:r>
        <w:t xml:space="preserve">”</w:t>
      </w:r>
      <w:r>
        <w:t xml:space="preserve">, so the error of the previous model detecting</w:t>
      </w:r>
      <w:r>
        <w:t xml:space="preserve"> </w:t>
      </w:r>
      <w:r>
        <w:t xml:space="preserve">“</w:t>
      </w:r>
      <w:r>
        <w:t xml:space="preserve">data sentences</w:t>
      </w:r>
      <w:r>
        <w:t xml:space="preserve">”</w:t>
      </w:r>
      <w:r>
        <w:t xml:space="preserve"> </w:t>
      </w:r>
      <w:r>
        <w:t xml:space="preserve">will be propagated to the second model. However, even combining the two error rates, the recognition of mentions of explicit datasets (dataset with names or without name but expressed as dataset or data) appears reliable with the current amount of training data. This result confirms that indicators derived from these extracted mentions can be build in a safe manner.</w:t>
      </w:r>
    </w:p>
    <w:p>
      <w:pPr>
        <w:pStyle w:val="BodyText"/>
      </w:pPr>
      <w:r>
        <w:t xml:space="preserve">At this stage, implicit datasets are harder to recognize and will require additional training data and modeling efforts. We also present for reference the current recognition scores for data device mentions, but their manual annotations are still work-in-progress and very limited. We think that the automatic identification of data acquisition devices or data processing devices could help in the future to spot implicit data in a more reliable way.</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recall</w:t>
            </w:r>
          </w:p>
        </w:tc>
        <w:tc>
          <w:tcPr>
            <w:tcBorders>
              <w:bottom w:val="single"/>
            </w:tcBorders>
            <w:vAlign w:val="bottom"/>
          </w:tcPr>
          <w:p>
            <w:pPr>
              <w:pStyle w:val="Compact"/>
              <w:jc w:val="left"/>
            </w:pPr>
            <w:r>
              <w:rPr>
                <w:b/>
              </w:rPr>
              <w:t xml:space="preserve">F1-score</w:t>
            </w:r>
          </w:p>
        </w:tc>
        <w:tc>
          <w:tcPr>
            <w:tcBorders>
              <w:bottom w:val="single"/>
            </w:tcBorders>
            <w:vAlign w:val="bottom"/>
          </w:tcPr>
          <w:p>
            <w:pPr>
              <w:pStyle w:val="Compact"/>
              <w:jc w:val="left"/>
            </w:pPr>
            <w:r>
              <w:t xml:space="preserve">support (10%)</w:t>
            </w:r>
          </w:p>
        </w:tc>
      </w:tr>
      <w:tr>
        <w:tc>
          <w:p>
            <w:pPr>
              <w:pStyle w:val="Compact"/>
              <w:jc w:val="left"/>
            </w:pPr>
            <w:r>
              <w:rPr>
                <w:b/>
              </w:rPr>
              <w:t xml:space="preserve">explicit dataset</w:t>
            </w:r>
          </w:p>
        </w:tc>
        <w:tc>
          <w:p>
            <w:pPr>
              <w:pStyle w:val="Compact"/>
              <w:jc w:val="left"/>
            </w:pPr>
            <w:r>
              <w:t xml:space="preserve">89.04</w:t>
            </w:r>
          </w:p>
        </w:tc>
        <w:tc>
          <w:p>
            <w:pPr>
              <w:pStyle w:val="Compact"/>
              <w:jc w:val="left"/>
            </w:pPr>
            <w:r>
              <w:t xml:space="preserve">89.46</w:t>
            </w:r>
          </w:p>
        </w:tc>
        <w:tc>
          <w:p>
            <w:pPr>
              <w:pStyle w:val="Compact"/>
              <w:jc w:val="left"/>
            </w:pPr>
            <w:r>
              <w:rPr>
                <w:b/>
              </w:rPr>
              <w:t xml:space="preserve">89.24</w:t>
            </w:r>
          </w:p>
        </w:tc>
        <w:tc>
          <w:p>
            <w:pPr>
              <w:pStyle w:val="Compact"/>
              <w:jc w:val="left"/>
            </w:pPr>
            <w:r>
              <w:t xml:space="preserve">466</w:t>
            </w:r>
          </w:p>
        </w:tc>
      </w:tr>
      <w:tr>
        <w:tc>
          <w:p>
            <w:pPr>
              <w:pStyle w:val="Compact"/>
              <w:jc w:val="left"/>
            </w:pPr>
            <w:r>
              <w:rPr>
                <w:b/>
              </w:rPr>
              <w:t xml:space="preserve">implicit dataset</w:t>
            </w:r>
          </w:p>
        </w:tc>
        <w:tc>
          <w:p>
            <w:pPr>
              <w:pStyle w:val="Compact"/>
              <w:jc w:val="left"/>
            </w:pPr>
            <w:r>
              <w:t xml:space="preserve">71.85</w:t>
            </w:r>
          </w:p>
        </w:tc>
        <w:tc>
          <w:p>
            <w:pPr>
              <w:pStyle w:val="Compact"/>
              <w:jc w:val="left"/>
            </w:pPr>
            <w:r>
              <w:t xml:space="preserve">67.15</w:t>
            </w:r>
          </w:p>
        </w:tc>
        <w:tc>
          <w:p>
            <w:pPr>
              <w:pStyle w:val="Compact"/>
              <w:jc w:val="left"/>
            </w:pPr>
            <w:r>
              <w:rPr>
                <w:b/>
              </w:rPr>
              <w:t xml:space="preserve">69.38</w:t>
            </w:r>
          </w:p>
        </w:tc>
        <w:tc>
          <w:p>
            <w:pPr>
              <w:pStyle w:val="Compact"/>
              <w:jc w:val="left"/>
            </w:pPr>
            <w:r>
              <w:t xml:space="preserve">927</w:t>
            </w:r>
          </w:p>
        </w:tc>
      </w:tr>
      <w:tr>
        <w:tc>
          <w:p>
            <w:pPr>
              <w:pStyle w:val="Compact"/>
              <w:jc w:val="left"/>
            </w:pPr>
            <w:r>
              <w:t xml:space="preserve">data device</w:t>
            </w:r>
          </w:p>
        </w:tc>
        <w:tc>
          <w:p>
            <w:pPr>
              <w:pStyle w:val="Compact"/>
              <w:jc w:val="left"/>
            </w:pPr>
            <w:r>
              <w:t xml:space="preserve">51.91</w:t>
            </w:r>
          </w:p>
        </w:tc>
        <w:tc>
          <w:p>
            <w:pPr>
              <w:pStyle w:val="Compact"/>
              <w:jc w:val="left"/>
            </w:pPr>
            <w:r>
              <w:t xml:space="preserve">37.94</w:t>
            </w:r>
          </w:p>
        </w:tc>
        <w:tc>
          <w:p>
            <w:pPr>
              <w:pStyle w:val="Compact"/>
              <w:jc w:val="left"/>
            </w:pPr>
            <w:r>
              <w:t xml:space="preserve">42.61</w:t>
            </w:r>
          </w:p>
        </w:tc>
        <w:tc>
          <w:p>
            <w:pPr>
              <w:pStyle w:val="Compact"/>
              <w:jc w:val="left"/>
            </w:pPr>
            <w:r>
              <w:t xml:space="preserve">97</w:t>
            </w:r>
          </w:p>
        </w:tc>
      </w:tr>
    </w:tbl>
    <w:bookmarkEnd w:id="59"/>
    <w:bookmarkEnd w:id="60"/>
    <w:bookmarkStart w:id="63" w:name="characterization-of-mention-contexts"/>
    <w:p>
      <w:pPr>
        <w:pStyle w:val="Heading2"/>
      </w:pPr>
      <w:r>
        <w:t xml:space="preserve">2.4 Characterization of mention contexts</w:t>
      </w:r>
    </w:p>
    <w:p>
      <w:pPr>
        <w:pStyle w:val="FirstParagraph"/>
      </w:pPr>
      <w:r>
        <w:t xml:space="preserve">Whether or not a research dataset or software mentioned in an article was used, created and shared is important to monitor the compliance with Open Science policies. We hypothesize here that the wording used to introduce and describe a dataset or software mention can characterize its possible usage, creation and sharing. The sentences containing the mentions are used as classifier input, without additional features.</w:t>
      </w:r>
      <w:r>
        <w:t xml:space="preserve"> </w:t>
      </w:r>
      <w:r>
        <w:t xml:space="preserve">As we observed that the wording used to describe the role of these mentions is very similar for dataset and software, we use the same classifiers for characterizing both research dataset and software mentions.</w:t>
      </w:r>
    </w:p>
    <w:bookmarkStart w:id="61" w:name="training-data"/>
    <w:p>
      <w:pPr>
        <w:pStyle w:val="Heading3"/>
      </w:pPr>
      <w:r>
        <w:t xml:space="preserve">Training data</w:t>
      </w:r>
    </w:p>
    <w:p>
      <w:pPr>
        <w:pStyle w:val="FirstParagraph"/>
      </w:pPr>
      <w:r>
        <w:t xml:space="preserve">The annotated data for training the classifiers are a combination of existing training data and additional manual annotation realized during the project:</w:t>
      </w:r>
    </w:p>
    <w:p>
      <w:pPr>
        <w:numPr>
          <w:ilvl w:val="0"/>
          <w:numId w:val="1012"/>
        </w:numPr>
      </w:pPr>
      <w:r>
        <w:t xml:space="preserve">l’attribut</w:t>
      </w:r>
      <w:r>
        <w:t xml:space="preserve"> </w:t>
      </w:r>
      <w:r>
        <w:rPr>
          <w:i/>
        </w:rPr>
        <w:t xml:space="preserve">used</w:t>
      </w:r>
      <w:r>
        <w:t xml:space="preserve"> </w:t>
      </w:r>
      <w:r>
        <w:t xml:space="preserve">of the Softcite dataset</w:t>
      </w:r>
    </w:p>
    <w:p>
      <w:pPr>
        <w:numPr>
          <w:ilvl w:val="0"/>
          <w:numId w:val="1012"/>
        </w:numPr>
      </w:pPr>
      <w:r>
        <w:t xml:space="preserve">the corresponding annotations in the SoMeSci dataset</w:t>
      </w:r>
    </w:p>
    <w:p>
      <w:pPr>
        <w:numPr>
          <w:ilvl w:val="0"/>
          <w:numId w:val="1012"/>
        </w:numPr>
      </w:pPr>
      <w:r>
        <w:t xml:space="preserve">an additional set of 500 contexts manually annotated focusing more on datasets and the minoroty classes (</w:t>
      </w:r>
      <w:r>
        <w:rPr>
          <w:i/>
        </w:rPr>
        <w:t xml:space="preserve">created</w:t>
      </w:r>
      <w:r>
        <w:t xml:space="preserve"> </w:t>
      </w:r>
      <w:r>
        <w:t xml:space="preserve">and</w:t>
      </w:r>
      <w:r>
        <w:t xml:space="preserve"> </w:t>
      </w:r>
      <w:r>
        <w:rPr>
          <w:i/>
        </w:rPr>
        <w:t xml:space="preserve">shared</w:t>
      </w:r>
      <w:r>
        <w:t xml:space="preserve">)</w:t>
      </w:r>
    </w:p>
    <w:p>
      <w:pPr>
        <w:pStyle w:val="FirstParagraph"/>
      </w:pPr>
      <w:r>
        <w:t xml:space="preserve">Table [] presents the distribution of classes in this training data set.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total contexts</w:t>
            </w:r>
          </w:p>
        </w:tc>
        <w:tc>
          <w:tcPr>
            <w:tcBorders>
              <w:bottom w:val="single"/>
            </w:tcBorders>
            <w:vAlign w:val="bottom"/>
          </w:tcPr>
          <w:p>
            <w:pPr>
              <w:pStyle w:val="Compact"/>
              <w:jc w:val="left"/>
            </w:pPr>
            <w:r>
              <w:t xml:space="preserve">3,643</w:t>
            </w:r>
          </w:p>
        </w:tc>
      </w:tr>
      <w:tr>
        <w:tc>
          <w:p>
            <w:pPr>
              <w:pStyle w:val="Compact"/>
              <w:jc w:val="left"/>
            </w:pPr>
            <w:r>
              <w:t xml:space="preserve">used</w:t>
            </w:r>
          </w:p>
        </w:tc>
        <w:tc>
          <w:p>
            <w:pPr>
              <w:pStyle w:val="Compact"/>
              <w:jc w:val="left"/>
            </w:pPr>
            <w:r>
              <w:t xml:space="preserve">2,774</w:t>
            </w:r>
          </w:p>
        </w:tc>
      </w:tr>
      <w:tr>
        <w:tc>
          <w:p>
            <w:pPr>
              <w:pStyle w:val="Compact"/>
              <w:jc w:val="left"/>
            </w:pPr>
            <w:r>
              <w:t xml:space="preserve">not used</w:t>
            </w:r>
          </w:p>
        </w:tc>
        <w:tc>
          <w:p>
            <w:pPr>
              <w:pStyle w:val="Compact"/>
              <w:jc w:val="left"/>
            </w:pPr>
            <w:r>
              <w:t xml:space="preserve">869</w:t>
            </w:r>
          </w:p>
        </w:tc>
      </w:tr>
      <w:tr>
        <w:tc>
          <w:p>
            <w:pPr>
              <w:pStyle w:val="Compact"/>
              <w:jc w:val="left"/>
            </w:pPr>
            <w:r>
              <w:t xml:space="preserve">—</w:t>
            </w:r>
          </w:p>
        </w:tc>
        <w:tc>
          <w:p>
            <w:pPr>
              <w:pStyle w:val="Compact"/>
              <w:jc w:val="left"/>
            </w:pPr>
            <w:r>
              <w:t xml:space="preserve">—</w:t>
            </w:r>
          </w:p>
        </w:tc>
      </w:tr>
      <w:tr>
        <w:tc>
          <w:p>
            <w:pPr>
              <w:pStyle w:val="Compact"/>
              <w:jc w:val="left"/>
            </w:pPr>
            <w:r>
              <w:t xml:space="preserve">created</w:t>
            </w:r>
          </w:p>
        </w:tc>
        <w:tc>
          <w:p>
            <w:pPr>
              <w:pStyle w:val="Compact"/>
              <w:jc w:val="left"/>
            </w:pPr>
            <w:r>
              <w:t xml:space="preserve">338</w:t>
            </w:r>
          </w:p>
        </w:tc>
      </w:tr>
      <w:tr>
        <w:tc>
          <w:p>
            <w:pPr>
              <w:pStyle w:val="Compact"/>
              <w:jc w:val="left"/>
            </w:pPr>
            <w:r>
              <w:t xml:space="preserve">not created</w:t>
            </w:r>
          </w:p>
        </w:tc>
        <w:tc>
          <w:p>
            <w:pPr>
              <w:pStyle w:val="Compact"/>
              <w:jc w:val="left"/>
            </w:pPr>
            <w:r>
              <w:t xml:space="preserve">3,305</w:t>
            </w:r>
          </w:p>
        </w:tc>
      </w:tr>
      <w:tr>
        <w:tc>
          <w:p>
            <w:pPr>
              <w:pStyle w:val="Compact"/>
              <w:jc w:val="left"/>
            </w:pPr>
            <w:r>
              <w:t xml:space="preserve">—</w:t>
            </w:r>
          </w:p>
        </w:tc>
        <w:tc>
          <w:p>
            <w:pPr>
              <w:pStyle w:val="Compact"/>
              <w:jc w:val="left"/>
            </w:pPr>
            <w:r>
              <w:t xml:space="preserve">—</w:t>
            </w:r>
          </w:p>
        </w:tc>
      </w:tr>
      <w:tr>
        <w:tc>
          <w:p>
            <w:pPr>
              <w:pStyle w:val="Compact"/>
              <w:jc w:val="left"/>
            </w:pPr>
            <w:r>
              <w:t xml:space="preserve">shared</w:t>
            </w:r>
          </w:p>
        </w:tc>
        <w:tc>
          <w:p>
            <w:pPr>
              <w:pStyle w:val="Compact"/>
              <w:jc w:val="left"/>
            </w:pPr>
            <w:r>
              <w:t xml:space="preserve">266</w:t>
            </w:r>
          </w:p>
        </w:tc>
      </w:tr>
      <w:tr>
        <w:tc>
          <w:p>
            <w:pPr>
              <w:pStyle w:val="Compact"/>
              <w:jc w:val="left"/>
            </w:pPr>
            <w:r>
              <w:t xml:space="preserve">not shared</w:t>
            </w:r>
          </w:p>
        </w:tc>
        <w:tc>
          <w:p>
            <w:pPr>
              <w:pStyle w:val="Compact"/>
              <w:jc w:val="left"/>
            </w:pPr>
            <w:r>
              <w:t xml:space="preserve">3,377</w:t>
            </w:r>
          </w:p>
        </w:tc>
      </w:tr>
    </w:tbl>
    <w:bookmarkEnd w:id="61"/>
    <w:bookmarkStart w:id="62" w:name="current-performance-1"/>
    <w:p>
      <w:pPr>
        <w:pStyle w:val="Heading3"/>
      </w:pPr>
      <w:r>
        <w:t xml:space="preserve">Current performance</w:t>
      </w:r>
    </w:p>
    <w:p>
      <w:pPr>
        <w:pStyle w:val="FirstParagraph"/>
      </w:pPr>
      <w:r>
        <w:t xml:space="preserve">The following scores are thus produced using 10-fold cross-validation based on three binary classifiers, one per class used/created/shared. The classifiers are fine-tuned LinkBERT base model</w:t>
      </w:r>
      <w:r>
        <w:t xml:space="preserve"> </w:t>
      </w:r>
      <w:r>
        <w:t xml:space="preserve">(Yasunaga, Leskovec, and Liang 2022)</w:t>
      </w:r>
      <w:r>
        <w:t xml:space="preserve">. Binary classifiers for each class perform significantly better than a single multiclass classifier (up to 4 F1-score points).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recall</w:t>
            </w:r>
          </w:p>
        </w:tc>
        <w:tc>
          <w:tcPr>
            <w:tcBorders>
              <w:bottom w:val="single"/>
            </w:tcBorders>
            <w:vAlign w:val="bottom"/>
          </w:tcPr>
          <w:p>
            <w:pPr>
              <w:pStyle w:val="Compact"/>
              <w:jc w:val="left"/>
            </w:pPr>
            <w:r>
              <w:rPr>
                <w:b/>
              </w:rPr>
              <w:t xml:space="preserve">F1-score</w:t>
            </w:r>
          </w:p>
        </w:tc>
        <w:tc>
          <w:tcPr>
            <w:tcBorders>
              <w:bottom w:val="single"/>
            </w:tcBorders>
            <w:vAlign w:val="bottom"/>
          </w:tcPr>
          <w:p>
            <w:pPr>
              <w:pStyle w:val="Compact"/>
              <w:jc w:val="left"/>
            </w:pPr>
            <w:r>
              <w:t xml:space="preserve">support</w:t>
            </w:r>
          </w:p>
        </w:tc>
      </w:tr>
      <w:tr>
        <w:tc>
          <w:p>
            <w:pPr>
              <w:pStyle w:val="Compact"/>
              <w:jc w:val="left"/>
            </w:pPr>
            <w:r>
              <w:rPr>
                <w:b/>
              </w:rPr>
              <w:t xml:space="preserve">used</w:t>
            </w:r>
          </w:p>
        </w:tc>
        <w:tc>
          <w:p>
            <w:pPr>
              <w:pStyle w:val="Compact"/>
              <w:jc w:val="left"/>
            </w:pPr>
            <w:r>
              <w:t xml:space="preserve">96.83</w:t>
            </w:r>
          </w:p>
        </w:tc>
        <w:tc>
          <w:p>
            <w:pPr>
              <w:pStyle w:val="Compact"/>
              <w:jc w:val="left"/>
            </w:pPr>
            <w:r>
              <w:t xml:space="preserve">94.18</w:t>
            </w:r>
          </w:p>
        </w:tc>
        <w:tc>
          <w:p>
            <w:pPr>
              <w:pStyle w:val="Compact"/>
              <w:jc w:val="left"/>
            </w:pPr>
            <w:r>
              <w:rPr>
                <w:b/>
              </w:rPr>
              <w:t xml:space="preserve">95.49</w:t>
            </w:r>
          </w:p>
        </w:tc>
        <w:tc>
          <w:p>
            <w:pPr>
              <w:pStyle w:val="Compact"/>
              <w:jc w:val="left"/>
            </w:pPr>
            <w:r>
              <w:t xml:space="preserve">292</w:t>
            </w:r>
          </w:p>
        </w:tc>
      </w:tr>
      <w:tr>
        <w:tc>
          <w:p>
            <w:pPr>
              <w:pStyle w:val="Compact"/>
              <w:jc w:val="left"/>
            </w:pPr>
            <w:r>
              <w:rPr>
                <w:b/>
              </w:rPr>
              <w:t xml:space="preserve">not used</w:t>
            </w:r>
          </w:p>
        </w:tc>
        <w:tc>
          <w:p>
            <w:pPr>
              <w:pStyle w:val="Compact"/>
              <w:jc w:val="left"/>
            </w:pPr>
            <w:r>
              <w:t xml:space="preserve">84.40</w:t>
            </w:r>
          </w:p>
        </w:tc>
        <w:tc>
          <w:p>
            <w:pPr>
              <w:pStyle w:val="Compact"/>
              <w:jc w:val="left"/>
            </w:pPr>
            <w:r>
              <w:t xml:space="preserve">91.09</w:t>
            </w:r>
          </w:p>
        </w:tc>
        <w:tc>
          <w:p>
            <w:pPr>
              <w:pStyle w:val="Compact"/>
              <w:jc w:val="left"/>
            </w:pPr>
            <w:r>
              <w:rPr>
                <w:b/>
              </w:rPr>
              <w:t xml:space="preserve">87.62</w:t>
            </w:r>
          </w:p>
        </w:tc>
        <w:tc>
          <w:p>
            <w:pPr>
              <w:pStyle w:val="Compact"/>
              <w:jc w:val="left"/>
            </w:pPr>
            <w:r>
              <w:t xml:space="preserve">101</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created</w:t>
            </w:r>
          </w:p>
        </w:tc>
        <w:tc>
          <w:p>
            <w:pPr>
              <w:pStyle w:val="Compact"/>
              <w:jc w:val="left"/>
            </w:pPr>
            <w:r>
              <w:t xml:space="preserve">81.08</w:t>
            </w:r>
          </w:p>
        </w:tc>
        <w:tc>
          <w:p>
            <w:pPr>
              <w:pStyle w:val="Compact"/>
              <w:jc w:val="left"/>
            </w:pPr>
            <w:r>
              <w:t xml:space="preserve">83.33</w:t>
            </w:r>
          </w:p>
        </w:tc>
        <w:tc>
          <w:p>
            <w:pPr>
              <w:pStyle w:val="Compact"/>
              <w:jc w:val="left"/>
            </w:pPr>
            <w:r>
              <w:rPr>
                <w:b/>
              </w:rPr>
              <w:t xml:space="preserve">82.19</w:t>
            </w:r>
          </w:p>
        </w:tc>
        <w:tc>
          <w:p>
            <w:pPr>
              <w:pStyle w:val="Compact"/>
              <w:jc w:val="left"/>
            </w:pPr>
            <w:r>
              <w:t xml:space="preserve">31</w:t>
            </w:r>
          </w:p>
        </w:tc>
      </w:tr>
      <w:tr>
        <w:tc>
          <w:p>
            <w:pPr>
              <w:pStyle w:val="Compact"/>
              <w:jc w:val="left"/>
            </w:pPr>
            <w:r>
              <w:rPr>
                <w:b/>
              </w:rPr>
              <w:t xml:space="preserve">not created</w:t>
            </w:r>
          </w:p>
        </w:tc>
        <w:tc>
          <w:p>
            <w:pPr>
              <w:pStyle w:val="Compact"/>
              <w:jc w:val="left"/>
            </w:pPr>
            <w:r>
              <w:t xml:space="preserve">98.31</w:t>
            </w:r>
          </w:p>
        </w:tc>
        <w:tc>
          <w:p>
            <w:pPr>
              <w:pStyle w:val="Compact"/>
              <w:jc w:val="left"/>
            </w:pPr>
            <w:r>
              <w:t xml:space="preserve">98.04</w:t>
            </w:r>
          </w:p>
        </w:tc>
        <w:tc>
          <w:p>
            <w:pPr>
              <w:pStyle w:val="Compact"/>
              <w:jc w:val="left"/>
            </w:pPr>
            <w:r>
              <w:rPr>
                <w:b/>
              </w:rPr>
              <w:t xml:space="preserve">98.18</w:t>
            </w:r>
          </w:p>
        </w:tc>
        <w:tc>
          <w:p>
            <w:pPr>
              <w:pStyle w:val="Compact"/>
              <w:jc w:val="left"/>
            </w:pPr>
            <w:r>
              <w:t xml:space="preserve">362</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b/>
              </w:rPr>
              <w:t xml:space="preserve">shared</w:t>
            </w:r>
          </w:p>
        </w:tc>
        <w:tc>
          <w:p>
            <w:pPr>
              <w:pStyle w:val="Compact"/>
              <w:jc w:val="left"/>
            </w:pPr>
            <w:r>
              <w:t xml:space="preserve">81.82</w:t>
            </w:r>
          </w:p>
        </w:tc>
        <w:tc>
          <w:p>
            <w:pPr>
              <w:pStyle w:val="Compact"/>
              <w:jc w:val="left"/>
            </w:pPr>
            <w:r>
              <w:t xml:space="preserve">90.00</w:t>
            </w:r>
          </w:p>
        </w:tc>
        <w:tc>
          <w:p>
            <w:pPr>
              <w:pStyle w:val="Compact"/>
              <w:jc w:val="left"/>
            </w:pPr>
            <w:r>
              <w:rPr>
                <w:b/>
              </w:rPr>
              <w:t xml:space="preserve">85.71</w:t>
            </w:r>
          </w:p>
        </w:tc>
        <w:tc>
          <w:p>
            <w:pPr>
              <w:pStyle w:val="Compact"/>
              <w:jc w:val="left"/>
            </w:pPr>
            <w:r>
              <w:t xml:space="preserve">26</w:t>
            </w:r>
          </w:p>
        </w:tc>
      </w:tr>
      <w:tr>
        <w:tc>
          <w:p>
            <w:pPr>
              <w:pStyle w:val="Compact"/>
              <w:jc w:val="left"/>
            </w:pPr>
            <w:r>
              <w:rPr>
                <w:b/>
              </w:rPr>
              <w:t xml:space="preserve">not shared</w:t>
            </w:r>
          </w:p>
        </w:tc>
        <w:tc>
          <w:p>
            <w:pPr>
              <w:pStyle w:val="Compact"/>
              <w:jc w:val="left"/>
            </w:pPr>
            <w:r>
              <w:t xml:space="preserve">99.35</w:t>
            </w:r>
          </w:p>
        </w:tc>
        <w:tc>
          <w:p>
            <w:pPr>
              <w:pStyle w:val="Compact"/>
              <w:jc w:val="left"/>
            </w:pPr>
            <w:r>
              <w:t xml:space="preserve">98.71</w:t>
            </w:r>
          </w:p>
        </w:tc>
        <w:tc>
          <w:p>
            <w:pPr>
              <w:pStyle w:val="Compact"/>
              <w:jc w:val="left"/>
            </w:pPr>
            <w:r>
              <w:rPr>
                <w:b/>
              </w:rPr>
              <w:t xml:space="preserve">99.03</w:t>
            </w:r>
          </w:p>
        </w:tc>
        <w:tc>
          <w:p>
            <w:pPr>
              <w:pStyle w:val="Compact"/>
              <w:jc w:val="left"/>
            </w:pPr>
            <w:r>
              <w:t xml:space="preserve">385</w:t>
            </w:r>
          </w:p>
        </w:tc>
      </w:tr>
    </w:tbl>
    <w:bookmarkEnd w:id="62"/>
    <w:bookmarkEnd w:id="63"/>
    <w:bookmarkStart w:id="64" w:name="recognition-of-availability-statements"/>
    <w:p>
      <w:pPr>
        <w:pStyle w:val="Heading2"/>
      </w:pPr>
      <w:r>
        <w:t xml:space="preserve">2.5 Recognition of availability statements</w:t>
      </w:r>
    </w:p>
    <w:p>
      <w:pPr>
        <w:pStyle w:val="FirstParagraph"/>
      </w:pPr>
      <w:r>
        <w:t xml:space="preserve">We have extended GROBID to identify automatically data and code availability statements in research publications. We define a data and/or code availability statements as a standalone section of a research publication (with a section title and one or several paragraphs) describing how the data and code involved in the research work can or cannot be accessed. We consider no restriction on the types of data described in the sharing statement, e.g. a section describing the accession numbers from a scientific database corresponding to research data used in a research work will be considered as a data availability statement.</w:t>
      </w:r>
    </w:p>
    <w:p>
      <w:pPr>
        <w:pStyle w:val="BodyText"/>
      </w:pPr>
      <w:r>
        <w:t xml:space="preserve">Availability statements appear usually in the front page of an article or at the end as a annex, but we also considered positions inside the main body, which are actually not rare in preprints. We do not put any constraints on the section title associated to</w:t>
      </w:r>
      <w:r>
        <w:t xml:space="preserve"> </w:t>
      </w:r>
      <w:r>
        <w:t xml:space="preserve">“</w:t>
      </w:r>
      <w:r>
        <w:t xml:space="preserve">data availability statements</w:t>
      </w:r>
      <w:r>
        <w:t xml:space="preserve">”</w:t>
      </w:r>
      <w:r>
        <w:t xml:space="preserve">. It appears that, especially in preprints, this section can be introduce with a vast variety of section titles.</w:t>
      </w:r>
    </w:p>
    <w:p>
      <w:pPr>
        <w:pStyle w:val="BodyText"/>
      </w:pPr>
      <w:r>
        <w:t xml:space="preserve">95 articles out of the 520 training articles of the GROBID</w:t>
      </w:r>
      <w:r>
        <w:t xml:space="preserve"> </w:t>
      </w:r>
      <w:r>
        <w:rPr>
          <w:rStyle w:val="VerbatimChar"/>
        </w:rPr>
        <w:t xml:space="preserve">segmentation</w:t>
      </w:r>
      <w:r>
        <w:t xml:space="preserve"> </w:t>
      </w:r>
      <w:r>
        <w:t xml:space="preserve">model have been further annotated with data availability section markups. This GROBID model is used to segment the main zone of a scientific article, such as header, body, bibliographical section, acknowledgement or funding. The data availability section is then structured and identified as such in the file TEI result file.</w:t>
      </w:r>
    </w:p>
    <w:p>
      <w:pPr>
        <w:pStyle w:val="BodyText"/>
      </w:pPr>
      <w:r>
        <w:t xml:space="preserve">We evaluated the reliability of recognition on two sets, one corresponding to high quality publisher publications, and one with only preprints at the other end of the spectrum of difficulty:</w:t>
      </w:r>
    </w:p>
    <w:p>
      <w:pPr>
        <w:numPr>
          <w:ilvl w:val="0"/>
          <w:numId w:val="1013"/>
        </w:numPr>
      </w:pPr>
      <w:r>
        <w:t xml:space="preserve">a set of 1000 random PLOS articles in PDF and JATS XML (from the complete PLOS collection) containing 779 data and code availability statement markup information</w:t>
      </w:r>
    </w:p>
    <w:p>
      <w:pPr>
        <w:numPr>
          <w:ilvl w:val="0"/>
          <w:numId w:val="1013"/>
        </w:numPr>
      </w:pPr>
      <w:r>
        <w:t xml:space="preserve">a set of 984 random eLife articles in PDF and JATS XML (from the complete eLife collection) containing 585 data availability statements markup information</w:t>
      </w:r>
    </w:p>
    <w:p>
      <w:pPr>
        <w:numPr>
          <w:ilvl w:val="0"/>
          <w:numId w:val="1013"/>
        </w:numPr>
      </w:pPr>
      <w:r>
        <w:t xml:space="preserve">a set of 2000 bioRxiv articles, which have been reviewed and completed manually regarding data and code availability statement markup, containing 473 data availability statements</w:t>
      </w:r>
    </w:p>
    <w:p>
      <w:pPr>
        <w:pStyle w:val="FirstParagraph"/>
      </w:pPr>
      <w:r>
        <w:t xml:space="preserve">Note that the markup information and encoding available in the publisher or bioRxiv XML is not always 100% accurate, because the content of the XML and the PDF versions can slightly change, and the XML can typically contain more information than what is in the PDF (for instance eLife XML contain the author keywords, while they are not present in the final published PDF). However, although we do not obtain perfect absolute evaluation scores, comparing automatic extraction from PDF with the publisher XML give a good estimation of the extraction accuracy in general.</w:t>
      </w:r>
    </w:p>
    <w:p>
      <w:pPr>
        <w:pStyle w:val="BodyText"/>
      </w:pPr>
      <w:r>
        <w:t xml:space="preserve">The bioRxiv set can be seen as the most challenging in general because, as a set of preprints, the authors are at this stage more or less free to format and express data availability statements as they want. In contrast, for published articles such as PLOS or eLife, the section title of data and code availability statements is constrained by the publisher format and thus much easier to recognize.</w:t>
      </w:r>
    </w:p>
    <w:p>
      <w:pPr>
        <w:pStyle w:val="BodyText"/>
      </w:pPr>
      <w:r>
        <w:t xml:space="preserve">Table [] presents an evaluation of the accuracy of the data and code availability statement recognition in a end-to-end scenario (starting with PDF as input).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collection</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recall</w:t>
            </w:r>
          </w:p>
        </w:tc>
        <w:tc>
          <w:tcPr>
            <w:tcBorders>
              <w:bottom w:val="single"/>
            </w:tcBorders>
            <w:vAlign w:val="bottom"/>
          </w:tcPr>
          <w:p>
            <w:pPr>
              <w:pStyle w:val="Compact"/>
              <w:jc w:val="left"/>
            </w:pPr>
            <w:r>
              <w:rPr>
                <w:b/>
              </w:rPr>
              <w:t xml:space="preserve">F1-score</w:t>
            </w:r>
          </w:p>
        </w:tc>
        <w:tc>
          <w:tcPr>
            <w:tcBorders>
              <w:bottom w:val="single"/>
            </w:tcBorders>
            <w:vAlign w:val="bottom"/>
          </w:tcPr>
          <w:p>
            <w:pPr>
              <w:pStyle w:val="Compact"/>
              <w:jc w:val="left"/>
            </w:pPr>
            <w:r>
              <w:t xml:space="preserve">support</w:t>
            </w:r>
          </w:p>
        </w:tc>
      </w:tr>
      <w:tr>
        <w:tc>
          <w:p>
            <w:pPr>
              <w:pStyle w:val="Compact"/>
              <w:jc w:val="left"/>
            </w:pPr>
            <w:r>
              <w:rPr>
                <w:b/>
              </w:rPr>
              <w:t xml:space="preserve">PLOS 1000 articles</w:t>
            </w:r>
          </w:p>
        </w:tc>
        <w:tc>
          <w:p>
            <w:pPr>
              <w:pStyle w:val="Compact"/>
              <w:jc w:val="left"/>
            </w:pPr>
            <w:r>
              <w:t xml:space="preserve">99.57</w:t>
            </w:r>
          </w:p>
        </w:tc>
        <w:tc>
          <w:p>
            <w:pPr>
              <w:pStyle w:val="Compact"/>
              <w:jc w:val="left"/>
            </w:pPr>
            <w:r>
              <w:t xml:space="preserve">89.73</w:t>
            </w:r>
          </w:p>
        </w:tc>
        <w:tc>
          <w:p>
            <w:pPr>
              <w:pStyle w:val="Compact"/>
              <w:jc w:val="left"/>
            </w:pPr>
            <w:r>
              <w:rPr>
                <w:b/>
              </w:rPr>
              <w:t xml:space="preserve">94.4</w:t>
            </w:r>
          </w:p>
        </w:tc>
        <w:tc>
          <w:p>
            <w:pPr>
              <w:pStyle w:val="Compact"/>
              <w:jc w:val="left"/>
            </w:pPr>
            <w:r>
              <w:t xml:space="preserve">779</w:t>
            </w:r>
          </w:p>
        </w:tc>
      </w:tr>
      <w:tr>
        <w:tc>
          <w:p>
            <w:pPr>
              <w:pStyle w:val="Compact"/>
              <w:jc w:val="left"/>
            </w:pPr>
            <w:r>
              <w:rPr>
                <w:b/>
              </w:rPr>
              <w:t xml:space="preserve">eLife 984 articles</w:t>
            </w:r>
          </w:p>
        </w:tc>
        <w:tc>
          <w:p>
            <w:pPr>
              <w:pStyle w:val="Compact"/>
              <w:jc w:val="left"/>
            </w:pPr>
            <w:r>
              <w:t xml:space="preserve">96.62</w:t>
            </w:r>
          </w:p>
        </w:tc>
        <w:tc>
          <w:p>
            <w:pPr>
              <w:pStyle w:val="Compact"/>
              <w:jc w:val="left"/>
            </w:pPr>
            <w:r>
              <w:t xml:space="preserve">92.82</w:t>
            </w:r>
          </w:p>
        </w:tc>
        <w:tc>
          <w:p>
            <w:pPr>
              <w:pStyle w:val="Compact"/>
              <w:jc w:val="left"/>
            </w:pPr>
            <w:r>
              <w:rPr>
                <w:b/>
              </w:rPr>
              <w:t xml:space="preserve">94.68</w:t>
            </w:r>
          </w:p>
        </w:tc>
        <w:tc>
          <w:p>
            <w:pPr>
              <w:pStyle w:val="Compact"/>
              <w:jc w:val="left"/>
            </w:pPr>
            <w:r>
              <w:t xml:space="preserve">585</w:t>
            </w:r>
          </w:p>
        </w:tc>
      </w:tr>
      <w:tr>
        <w:tc>
          <w:p>
            <w:pPr>
              <w:pStyle w:val="Compact"/>
              <w:jc w:val="left"/>
            </w:pPr>
            <w:r>
              <w:rPr>
                <w:b/>
              </w:rPr>
              <w:t xml:space="preserve">bioRxiv 2000 articles</w:t>
            </w:r>
          </w:p>
        </w:tc>
        <w:tc>
          <w:p>
            <w:pPr>
              <w:pStyle w:val="Compact"/>
              <w:jc w:val="left"/>
            </w:pPr>
            <w:r>
              <w:t xml:space="preserve">82.7</w:t>
            </w:r>
          </w:p>
        </w:tc>
        <w:tc>
          <w:p>
            <w:pPr>
              <w:pStyle w:val="Compact"/>
              <w:jc w:val="left"/>
            </w:pPr>
            <w:r>
              <w:t xml:space="preserve">78.25</w:t>
            </w:r>
          </w:p>
        </w:tc>
        <w:tc>
          <w:p>
            <w:pPr>
              <w:pStyle w:val="Compact"/>
              <w:jc w:val="left"/>
            </w:pPr>
            <w:r>
              <w:rPr>
                <w:b/>
              </w:rPr>
              <w:t xml:space="preserve">80.41</w:t>
            </w:r>
          </w:p>
        </w:tc>
        <w:tc>
          <w:p>
            <w:pPr>
              <w:pStyle w:val="Compact"/>
              <w:jc w:val="left"/>
            </w:pPr>
            <w:r>
              <w:t xml:space="preserve">473</w:t>
            </w:r>
          </w:p>
        </w:tc>
      </w:tr>
    </w:tbl>
    <w:p>
      <w:pPr>
        <w:pStyle w:val="BodyText"/>
      </w:pPr>
      <w:r>
        <w:t xml:space="preserve">We observed that on recent publications (2020 and after), the presence of data availability sections is correctly recognized in nearly all PLOS and eLife. On the other hand, preprint data availability statements can be challenging to identify because they can appear in non-usual position in the article (e.g. inside the article body) and can be introduced by a large variety of section titles depending on the described data. In published versions, we generally observe a high regularity and very high precision similar to PLOS/eLife articles.</w:t>
      </w:r>
    </w:p>
    <w:bookmarkEnd w:id="64"/>
    <w:bookmarkStart w:id="65" w:name="matching-and-aggregation"/>
    <w:p>
      <w:pPr>
        <w:pStyle w:val="Heading2"/>
      </w:pPr>
      <w:r>
        <w:t xml:space="preserve">2.6 Matching and aggregation</w:t>
      </w:r>
    </w:p>
    <w:p>
      <w:pPr>
        <w:pStyle w:val="FirstParagraph"/>
      </w:pPr>
      <w:r>
        <w:t xml:space="preserve">At document-level.</w:t>
      </w:r>
    </w:p>
    <w:p>
      <w:pPr>
        <w:pStyle w:val="BodyText"/>
      </w:pPr>
      <w:r>
        <w:t xml:space="preserve">At corpus-level, disambiguating mentions of the same dataset or software in different documents could lead to indicators at the level of produced dataset and software. Such overall index of research dataset and software is currently out of the scope of the selected indicators.</w:t>
      </w:r>
    </w:p>
    <w:bookmarkEnd w:id="65"/>
    <w:bookmarkStart w:id="66" w:name="monitoring-indicators-construction"/>
    <w:p>
      <w:pPr>
        <w:pStyle w:val="Heading2"/>
      </w:pPr>
      <w:r>
        <w:t xml:space="preserve">2.7 Monitoring indicators construction</w:t>
      </w:r>
    </w:p>
    <w:p>
      <w:pPr>
        <w:pStyle w:val="FirstParagraph"/>
      </w:pPr>
      <w:r>
        <w:t xml:space="preserve">To help steer French public policy, the BSO must have indicators that meet several conditions:</w:t>
      </w:r>
    </w:p>
    <w:p>
      <w:pPr>
        <w:numPr>
          <w:ilvl w:val="0"/>
          <w:numId w:val="1014"/>
        </w:numPr>
      </w:pPr>
      <w:r>
        <w:t xml:space="preserve">indicators that evolve</w:t>
      </w:r>
      <w:r>
        <w:t xml:space="preserve"> </w:t>
      </w:r>
      <w:r>
        <w:t xml:space="preserve">“</w:t>
      </w:r>
      <w:r>
        <w:t xml:space="preserve">quickly</w:t>
      </w:r>
      <w:r>
        <w:t xml:space="preserve">”</w:t>
      </w:r>
      <w:r>
        <w:t xml:space="preserve"> </w:t>
      </w:r>
      <w:r>
        <w:t xml:space="preserve">according to changes in uses and practices (indicators with little temporal inertia)</w:t>
      </w:r>
    </w:p>
    <w:p>
      <w:pPr>
        <w:numPr>
          <w:ilvl w:val="0"/>
          <w:numId w:val="1014"/>
        </w:numPr>
      </w:pPr>
      <w:r>
        <w:t xml:space="preserve">indicators that are easily understandable and interpretable</w:t>
      </w:r>
    </w:p>
    <w:p>
      <w:pPr>
        <w:numPr>
          <w:ilvl w:val="0"/>
          <w:numId w:val="1014"/>
        </w:numPr>
      </w:pPr>
      <w:r>
        <w:t xml:space="preserve">indicators whose floor and ceiling are known in advance and which are achievable.</w:t>
      </w:r>
    </w:p>
    <w:p>
      <w:pPr>
        <w:pStyle w:val="FirstParagraph"/>
      </w:pPr>
      <w:r>
        <w:t xml:space="preserve">For example, for the publications component, the BSO looks at the percentage of open access publications for the previous year: each year the new indicator does not depend on previous years. It varies between 0% and 100%, and 100% is the target for 2030.</w:t>
      </w:r>
    </w:p>
    <w:p>
      <w:pPr>
        <w:pStyle w:val="BodyText"/>
      </w:pPr>
      <w:r>
        <w:t xml:space="preserve">Although the subject is more complex, it is important that the same applies to indicators for research data and software. The detection work uses the full-text PDFs of the publications as raw material. It is therefore natural to propose indicators relating to the proportion of publications. As the methodology is similar for both datasets and software, the proposed indicators will be equivalent, replacing each time dataset by software. A</w:t>
      </w:r>
      <w:r>
        <w:t xml:space="preserve"> </w:t>
      </w:r>
      <w:r>
        <w:t xml:space="preserve">“</w:t>
      </w:r>
      <w:r>
        <w:t xml:space="preserve">naive</w:t>
      </w:r>
      <w:r>
        <w:t xml:space="preserve">”</w:t>
      </w:r>
      <w:r>
        <w:t xml:space="preserve"> </w:t>
      </w:r>
      <w:r>
        <w:t xml:space="preserve">indicator would be, for example, the proportion of publications that share a dataset :</w:t>
      </w:r>
    </w:p>
    <w:p>
      <w:pPr>
        <w:pStyle w:val="BodyText"/>
      </w:pPr>
      <w:r>
        <w:t xml:space="preserve">$$ I_{naive} = {\text{number of publications that 'shares' a dataset} \over \text{total number of publications}} $$</w:t>
      </w:r>
    </w:p>
    <w:p>
      <w:pPr>
        <w:pStyle w:val="FirstParagraph"/>
      </w:pPr>
      <w:r>
        <w:t xml:space="preserve">This indicator is simple, but has several shortcomings:</w:t>
      </w:r>
    </w:p>
    <w:p>
      <w:pPr>
        <w:numPr>
          <w:ilvl w:val="0"/>
          <w:numId w:val="1015"/>
        </w:numPr>
      </w:pPr>
      <w:r>
        <w:t xml:space="preserve">first, concerning the denominator, not all publications can be analysed by Softcite / DataStet, because the PDF could not systematically be downloaded (closed access for which we do not have a subscription, missing PDF, etc …). It should therefore be replaced at least by the number of publications that have been analysed.</w:t>
      </w:r>
    </w:p>
    <w:p>
      <w:pPr>
        <w:numPr>
          <w:ilvl w:val="0"/>
          <w:numId w:val="1015"/>
        </w:numPr>
      </w:pPr>
      <w:r>
        <w:t xml:space="preserve">secondly, we want to have an indicator whose upper bound has a meaning linked to the objectives of the public policy. For example, an article for which the research work did not require the use of any dataset cannot share it.</w:t>
      </w:r>
    </w:p>
    <w:p>
      <w:pPr>
        <w:pStyle w:val="FirstParagraph"/>
      </w:pPr>
      <w:r>
        <w:t xml:space="preserve">Thus, the notion of a publication that shares a dataset should be clarified as a publication that uses, creates and shares a dataset.</w:t>
      </w:r>
    </w:p>
    <w:p>
      <w:pPr>
        <w:pStyle w:val="BodyText"/>
      </w:pPr>
      <w:r>
        <w:t xml:space="preserve">We therefore propose to monitor a modified key indicator:</w:t>
      </w:r>
    </w:p>
    <w:p>
      <w:pPr>
        <w:pStyle w:val="BodyText"/>
      </w:pPr>
      <w:r>
        <w:t xml:space="preserve">$$ I_{share} = {\text{number of publications that use, create and share a dataset} \over \text{number of publications analyzed that use and create a dataset}} $$</w:t>
      </w:r>
    </w:p>
    <w:p>
      <w:pPr>
        <w:pStyle w:val="FirstParagraph"/>
      </w:pPr>
      <w:r>
        <w:t xml:space="preserve">The disadvantage of reasoning in this way is that we lose some of the lessons that could be learned from the non-actionable part of the scope (publications that do not create a dataset). This is why we propose to complete the analysis with two additional indicators:</w:t>
      </w:r>
    </w:p>
    <w:p>
      <w:pPr>
        <w:pStyle w:val="BodyText"/>
      </w:pPr>
      <w:r>
        <w:t xml:space="preserve">$$ I_{create} = {\text{number of publications that use and create a dataset} \over \text{number of publications analyzed that use a dataset}} $$</w:t>
      </w:r>
    </w:p>
    <w:p>
      <w:pPr>
        <w:pStyle w:val="FirstParagraph"/>
      </w:pPr>
      <w:r>
        <w:t xml:space="preserve">and</w:t>
      </w:r>
    </w:p>
    <w:p>
      <w:pPr>
        <w:pStyle w:val="BodyText"/>
      </w:pPr>
      <w:r>
        <w:t xml:space="preserve">$$ I_{use} = {\text{number of publications that use a dataset} \over \text{number of publications analyzed}} $$</w:t>
      </w:r>
    </w:p>
    <w:p>
      <w:pPr>
        <w:pStyle w:val="FirstParagraph"/>
      </w:pPr>
      <w:r>
        <w:t xml:space="preserve">These three indicators therefore make it possible to have a global and decomposable view of all the cases: the top of the pyramid, which is actionable, and which we want to increase. The other two are more descriptive, but will provide a better understanding of practices and uses, particularly by breaking them down by subject area.</w:t>
      </w:r>
    </w:p>
    <w:p>
      <w:pPr>
        <w:pStyle w:val="BodyText"/>
      </w:pPr>
      <w:r>
        <w:t xml:space="preserve">We note in particular that we find the naive indicator initially proposed as follows:</w:t>
      </w:r>
    </w:p>
    <w:p>
      <w:pPr>
        <w:pStyle w:val="BodyText"/>
      </w:pPr>
      <m:oMathPara>
        <m:oMathParaPr>
          <m:jc m:val="center"/>
        </m:oMathParaPr>
        <m:oMath>
          <m:sSub>
            <m:e>
              <m:r>
                <m:t>I</m:t>
              </m:r>
            </m:e>
            <m:sub>
              <m:r>
                <m:t>n</m:t>
              </m:r>
              <m:r>
                <m:t>a</m:t>
              </m:r>
              <m:r>
                <m:t>i</m:t>
              </m:r>
              <m:r>
                <m:t>v</m:t>
              </m:r>
              <m:r>
                <m:t>e</m:t>
              </m:r>
            </m:sub>
          </m:sSub>
          <m:r>
            <m:t>=</m:t>
          </m:r>
          <m:sSub>
            <m:e>
              <m:r>
                <m:t>I</m:t>
              </m:r>
            </m:e>
            <m:sub>
              <m:r>
                <m:t>s</m:t>
              </m:r>
              <m:r>
                <m:t>h</m:t>
              </m:r>
              <m:r>
                <m:t>a</m:t>
              </m:r>
              <m:r>
                <m:t>r</m:t>
              </m:r>
              <m:r>
                <m:t>e</m:t>
              </m:r>
            </m:sub>
          </m:sSub>
          <m:r>
            <m:t>×</m:t>
          </m:r>
          <m:sSub>
            <m:e>
              <m:r>
                <m:t>I</m:t>
              </m:r>
            </m:e>
            <m:sub>
              <m:r>
                <m:t>c</m:t>
              </m:r>
              <m:r>
                <m:t>r</m:t>
              </m:r>
              <m:r>
                <m:t>e</m:t>
              </m:r>
              <m:r>
                <m:t>a</m:t>
              </m:r>
              <m:r>
                <m:t>t</m:t>
              </m:r>
              <m:r>
                <m:t>e</m:t>
              </m:r>
            </m:sub>
          </m:sSub>
          <m:r>
            <m:t>×</m:t>
          </m:r>
          <m:sSub>
            <m:e>
              <m:r>
                <m:t>I</m:t>
              </m:r>
            </m:e>
            <m:sub>
              <m:r>
                <m:t>u</m:t>
              </m:r>
              <m:r>
                <m:t>s</m:t>
              </m:r>
              <m:r>
                <m:t>e</m:t>
              </m:r>
            </m:sub>
          </m:sSub>
          <m:r>
            <m:t>×</m:t>
          </m:r>
          <m:sSub>
            <m:e>
              <m:r>
                <m:t>P</m:t>
              </m:r>
            </m:e>
            <m:sub>
              <m:r>
                <m:t>a</m:t>
              </m:r>
              <m:r>
                <m:t>n</m:t>
              </m:r>
              <m:r>
                <m:t>a</m:t>
              </m:r>
              <m:r>
                <m:t>l</m:t>
              </m:r>
              <m:r>
                <m:t>y</m:t>
              </m:r>
              <m:r>
                <m:t>z</m:t>
              </m:r>
              <m:r>
                <m:t>e</m:t>
              </m:r>
              <m:r>
                <m:t>d</m:t>
              </m:r>
            </m:sub>
          </m:sSub>
        </m:oMath>
      </m:oMathPara>
    </w:p>
    <w:p>
      <w:pPr>
        <w:pStyle w:val="FirstParagraph"/>
      </w:pPr>
      <w:r>
        <w:t xml:space="preserve">where</w:t>
      </w:r>
    </w:p>
    <w:p>
      <w:pPr>
        <w:pStyle w:val="BodyText"/>
      </w:pPr>
      <w:r>
        <w:t xml:space="preserve">$$ P_{analyzed} = {\text{number of publications analyzed} \over \text{total number of publications}} $$</w:t>
      </w:r>
    </w:p>
    <w:p>
      <w:pPr>
        <w:pStyle w:val="FirstParagraph"/>
      </w:pPr>
      <w:r>
        <w:t xml:space="preserve">All these indicators can be broken down by the components linked to the publications themselves: year of publication, disciplines, publishers etc. Monitoring by year of publication (rather than the full stock of publications since the 2010s) allows for a responsive indicator.</w:t>
      </w:r>
    </w:p>
    <w:p>
      <w:pPr>
        <w:pStyle w:val="BodyText"/>
      </w:pPr>
      <w:r>
        <w:t xml:space="preserve">We supplement these indicators with a simpler one, linked simply to the presence, in the structure of the full text, of an explicit Data Availibility Statement paragraph (which in no way guarantees sharing) but nevertheless makes it possible to observe the evolution of this practice (which is very much linked to the publication’s editor).</w:t>
      </w:r>
    </w:p>
    <w:bookmarkEnd w:id="66"/>
    <w:bookmarkEnd w:id="67"/>
    <w:bookmarkStart w:id="69" w:name="implementation"/>
    <w:p>
      <w:pPr>
        <w:pStyle w:val="Heading1"/>
      </w:pPr>
      <w:r>
        <w:t xml:space="preserve">3. Implementation</w:t>
      </w:r>
    </w:p>
    <w:p>
      <w:pPr>
        <w:pStyle w:val="FirstParagraph"/>
      </w:pPr>
      <w:r>
        <w:t xml:space="preserve">Architecture diagram</w:t>
      </w:r>
    </w:p>
    <w:p>
      <w:pPr>
        <w:pStyle w:val="CaptionedFigure"/>
      </w:pPr>
      <w:r>
        <w:drawing>
          <wp:inline>
            <wp:extent cx="5334000" cy="3467100"/>
            <wp:effectExtent b="0" l="0" r="0" t="0"/>
            <wp:docPr descr="Global overview of the publications data flows" title="" id="1" name="Picture"/>
            <a:graphic>
              <a:graphicData uri="http://schemas.openxmlformats.org/drawingml/2006/picture">
                <pic:pic>
                  <pic:nvPicPr>
                    <pic:cNvPr descr="https://raw.githubusercontent.com/Barometre-de-la-Science-Ouverte/bso3-techdoc/master/methodology/flow_chart_publications_bso3.png" id="0" name="Picture"/>
                    <pic:cNvPicPr>
                      <a:picLocks noChangeArrowheads="1" noChangeAspect="1"/>
                    </pic:cNvPicPr>
                  </pic:nvPicPr>
                  <pic:blipFill>
                    <a:blip r:embed="rId68"/>
                    <a:stretch>
                      <a:fillRect/>
                    </a:stretch>
                  </pic:blipFill>
                  <pic:spPr bwMode="auto">
                    <a:xfrm>
                      <a:off x="0" y="0"/>
                      <a:ext cx="5334000" cy="3467100"/>
                    </a:xfrm>
                    <a:prstGeom prst="rect">
                      <a:avLst/>
                    </a:prstGeom>
                    <a:noFill/>
                    <a:ln w="9525">
                      <a:noFill/>
                      <a:headEnd/>
                      <a:tailEnd/>
                    </a:ln>
                  </pic:spPr>
                </pic:pic>
              </a:graphicData>
            </a:graphic>
          </wp:inline>
        </w:drawing>
      </w:r>
    </w:p>
    <w:p>
      <w:pPr>
        <w:pStyle w:val="ImageCaption"/>
      </w:pPr>
      <w:r>
        <w:t xml:space="preserve">Global overview of the publications data flows</w:t>
      </w:r>
    </w:p>
    <w:p>
      <w:pPr>
        <w:pStyle w:val="BodyText"/>
      </w:pPr>
      <w:r>
        <w:t xml:space="preserve">Workflow description</w:t>
      </w:r>
    </w:p>
    <w:p>
      <w:pPr>
        <w:pStyle w:val="BodyText"/>
      </w:pPr>
      <w:r>
        <w:t xml:space="preserve">Infrastructure and runtime indications</w:t>
      </w:r>
    </w:p>
    <w:bookmarkEnd w:id="69"/>
    <w:bookmarkStart w:id="80" w:name="results"/>
    <w:p>
      <w:pPr>
        <w:pStyle w:val="Heading1"/>
      </w:pPr>
      <w:r>
        <w:t xml:space="preserve">4. Results</w:t>
      </w:r>
    </w:p>
    <w:bookmarkStart w:id="70" w:name="full-text-harvesting"/>
    <w:p>
      <w:pPr>
        <w:pStyle w:val="Heading2"/>
      </w:pPr>
      <w:r>
        <w:t xml:space="preserve">4.1 Full text harvesting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is_oa</w:t>
            </w:r>
          </w:p>
        </w:tc>
        <w:tc>
          <w:tcPr>
            <w:tcBorders>
              <w:bottom w:val="single"/>
            </w:tcBorders>
            <w:vAlign w:val="bottom"/>
          </w:tcPr>
          <w:p>
            <w:pPr>
              <w:pStyle w:val="Compact"/>
              <w:jc w:val="center"/>
            </w:pPr>
            <w:r>
              <w:t xml:space="preserve">number of publications</w:t>
            </w:r>
          </w:p>
        </w:tc>
        <w:tc>
          <w:tcPr>
            <w:tcBorders>
              <w:bottom w:val="single"/>
            </w:tcBorders>
            <w:vAlign w:val="bottom"/>
          </w:tcPr>
          <w:p>
            <w:pPr>
              <w:pStyle w:val="Compact"/>
              <w:jc w:val="right"/>
            </w:pPr>
            <w:r>
              <w:t xml:space="preserve">number of PDF downloaded</w:t>
            </w:r>
          </w:p>
        </w:tc>
        <w:tc>
          <w:tcPr>
            <w:tcBorders>
              <w:bottom w:val="single"/>
            </w:tcBorders>
            <w:vAlign w:val="bottom"/>
          </w:tcPr>
          <w:p>
            <w:pPr>
              <w:pStyle w:val="Compact"/>
              <w:jc w:val="right"/>
            </w:pPr>
            <w:r>
              <w:t xml:space="preserve">% download success</w:t>
            </w:r>
          </w:p>
        </w:tc>
      </w:tr>
      <w:tr>
        <w:tc>
          <w:p>
            <w:pPr>
              <w:pStyle w:val="Compact"/>
              <w:jc w:val="left"/>
            </w:pPr>
            <w:r>
              <w:t xml:space="preserve">True</w:t>
            </w:r>
          </w:p>
        </w:tc>
        <w:tc>
          <w:p>
            <w:pPr>
              <w:pStyle w:val="Compact"/>
              <w:jc w:val="center"/>
            </w:pPr>
            <w:r>
              <w:t xml:space="preserve">698,610</w:t>
            </w:r>
          </w:p>
        </w:tc>
        <w:tc>
          <w:p>
            <w:pPr>
              <w:pStyle w:val="Compact"/>
              <w:jc w:val="right"/>
            </w:pPr>
            <w:r>
              <w:t xml:space="preserve">616,733</w:t>
            </w:r>
          </w:p>
        </w:tc>
        <w:tc>
          <w:p>
            <w:pPr>
              <w:pStyle w:val="Compact"/>
              <w:jc w:val="right"/>
            </w:pPr>
            <w:r>
              <w:t xml:space="preserve">88 %</w:t>
            </w:r>
          </w:p>
        </w:tc>
      </w:tr>
      <w:tr>
        <w:tc>
          <w:p>
            <w:pPr>
              <w:pStyle w:val="Compact"/>
              <w:jc w:val="left"/>
            </w:pPr>
            <w:r>
              <w:t xml:space="preserve">False</w:t>
            </w:r>
          </w:p>
        </w:tc>
        <w:tc>
          <w:p>
            <w:pPr>
              <w:pStyle w:val="Compact"/>
              <w:jc w:val="center"/>
            </w:pPr>
            <w:r>
              <w:t xml:space="preserve">659,584</w:t>
            </w:r>
          </w:p>
        </w:tc>
        <w:tc>
          <w:p>
            <w:pPr>
              <w:pStyle w:val="Compact"/>
              <w:jc w:val="right"/>
            </w:pPr>
            <w:r>
              <w:t xml:space="preserve">272,070</w:t>
            </w:r>
          </w:p>
        </w:tc>
        <w:tc>
          <w:p>
            <w:pPr>
              <w:pStyle w:val="Compact"/>
              <w:jc w:val="right"/>
            </w:pPr>
            <w:r>
              <w:t xml:space="preserve">41 %</w:t>
            </w:r>
          </w:p>
        </w:tc>
      </w:tr>
      <w:tr>
        <w:tc>
          <w:p>
            <w:pPr>
              <w:pStyle w:val="Compact"/>
              <w:jc w:val="left"/>
            </w:pPr>
            <w:r>
              <w:t xml:space="preserve">Total</w:t>
            </w:r>
          </w:p>
        </w:tc>
        <w:tc>
          <w:p>
            <w:pPr>
              <w:pStyle w:val="Compact"/>
              <w:jc w:val="center"/>
            </w:pPr>
            <w:r>
              <w:t xml:space="preserve">1,358,194</w:t>
            </w:r>
          </w:p>
        </w:tc>
        <w:tc>
          <w:p>
            <w:pPr>
              <w:pStyle w:val="Compact"/>
              <w:jc w:val="right"/>
            </w:pPr>
            <w:r>
              <w:t xml:space="preserve">888,803</w:t>
            </w:r>
          </w:p>
        </w:tc>
        <w:tc>
          <w:p>
            <w:pPr>
              <w:pStyle w:val="Compact"/>
              <w:jc w:val="right"/>
            </w:pPr>
            <w:r>
              <w:t xml:space="preserve">65 %</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harvester_type</w:t>
            </w:r>
          </w:p>
        </w:tc>
        <w:tc>
          <w:tcPr>
            <w:tcBorders>
              <w:bottom w:val="single"/>
            </w:tcBorders>
            <w:vAlign w:val="bottom"/>
          </w:tcPr>
          <w:p>
            <w:pPr>
              <w:pStyle w:val="Compact"/>
              <w:jc w:val="center"/>
            </w:pPr>
            <w:r>
              <w:t xml:space="preserve">number of PDF downloaded</w:t>
            </w:r>
          </w:p>
        </w:tc>
        <w:tc>
          <w:tcPr>
            <w:tcBorders>
              <w:bottom w:val="single"/>
            </w:tcBorders>
            <w:vAlign w:val="bottom"/>
          </w:tcPr>
          <w:p>
            <w:pPr>
              <w:pStyle w:val="Compact"/>
              <w:jc w:val="right"/>
            </w:pPr>
            <w:r>
              <w:t xml:space="preserve">% of total</w:t>
            </w:r>
          </w:p>
        </w:tc>
      </w:tr>
      <w:tr>
        <w:tc>
          <w:p>
            <w:pPr>
              <w:pStyle w:val="Compact"/>
              <w:jc w:val="left"/>
            </w:pPr>
            <w:r>
              <w:t xml:space="preserve">standard</w:t>
            </w:r>
          </w:p>
        </w:tc>
        <w:tc>
          <w:p>
            <w:pPr>
              <w:pStyle w:val="Compact"/>
              <w:jc w:val="center"/>
            </w:pPr>
            <w:r>
              <w:t xml:space="preserve">559,332</w:t>
            </w:r>
          </w:p>
        </w:tc>
        <w:tc>
          <w:p>
            <w:pPr>
              <w:pStyle w:val="Compact"/>
              <w:jc w:val="right"/>
            </w:pPr>
            <w:r>
              <w:t xml:space="preserve">63 %</w:t>
            </w:r>
          </w:p>
        </w:tc>
      </w:tr>
      <w:tr>
        <w:tc>
          <w:p>
            <w:pPr>
              <w:pStyle w:val="Compact"/>
              <w:jc w:val="left"/>
            </w:pPr>
            <w:r>
              <w:t xml:space="preserve">Elsevier TDM API</w:t>
            </w:r>
          </w:p>
        </w:tc>
        <w:tc>
          <w:p>
            <w:pPr>
              <w:pStyle w:val="Compact"/>
              <w:jc w:val="center"/>
            </w:pPr>
            <w:r>
              <w:t xml:space="preserve">200,155</w:t>
            </w:r>
          </w:p>
        </w:tc>
        <w:tc>
          <w:p>
            <w:pPr>
              <w:pStyle w:val="Compact"/>
              <w:jc w:val="right"/>
            </w:pPr>
            <w:r>
              <w:t xml:space="preserve">22 %</w:t>
            </w:r>
          </w:p>
        </w:tc>
      </w:tr>
      <w:tr>
        <w:tc>
          <w:p>
            <w:pPr>
              <w:pStyle w:val="Compact"/>
              <w:jc w:val="left"/>
            </w:pPr>
            <w:r>
              <w:t xml:space="preserve">arXiv</w:t>
            </w:r>
          </w:p>
        </w:tc>
        <w:tc>
          <w:p>
            <w:pPr>
              <w:pStyle w:val="Compact"/>
              <w:jc w:val="center"/>
            </w:pPr>
            <w:r>
              <w:t xml:space="preserve">78,078</w:t>
            </w:r>
          </w:p>
        </w:tc>
        <w:tc>
          <w:p>
            <w:pPr>
              <w:pStyle w:val="Compact"/>
              <w:jc w:val="right"/>
            </w:pPr>
            <w:r>
              <w:t xml:space="preserve">9 %</w:t>
            </w:r>
          </w:p>
        </w:tc>
      </w:tr>
      <w:tr>
        <w:tc>
          <w:p>
            <w:pPr>
              <w:pStyle w:val="Compact"/>
              <w:jc w:val="left"/>
            </w:pPr>
            <w:r>
              <w:t xml:space="preserve">Wiley TDM API</w:t>
            </w:r>
          </w:p>
        </w:tc>
        <w:tc>
          <w:p>
            <w:pPr>
              <w:pStyle w:val="Compact"/>
              <w:jc w:val="center"/>
            </w:pPr>
            <w:r>
              <w:t xml:space="preserve">51,238</w:t>
            </w:r>
          </w:p>
        </w:tc>
        <w:tc>
          <w:p>
            <w:pPr>
              <w:pStyle w:val="Compact"/>
              <w:jc w:val="right"/>
            </w:pPr>
            <w:r>
              <w:t xml:space="preserve">6 %</w:t>
            </w:r>
          </w:p>
        </w:tc>
      </w:tr>
    </w:tbl>
    <w:bookmarkEnd w:id="70"/>
    <w:bookmarkStart w:id="71" w:name="dataset-and-software-mention-extraction"/>
    <w:p>
      <w:pPr>
        <w:pStyle w:val="Heading2"/>
      </w:pPr>
      <w:r>
        <w:t xml:space="preserve">4.2 Dataset and software mention extraction</w:t>
      </w:r>
    </w:p>
    <w:bookmarkEnd w:id="71"/>
    <w:bookmarkStart w:id="72" w:name="research-product-deduplication"/>
    <w:p>
      <w:pPr>
        <w:pStyle w:val="Heading2"/>
      </w:pPr>
      <w:r>
        <w:t xml:space="preserve">4.3 Research product deduplication</w:t>
      </w:r>
    </w:p>
    <w:bookmarkEnd w:id="72"/>
    <w:bookmarkStart w:id="73" w:name="Xf25abbdd006ed901497b238ffdc83d116a7993b"/>
    <w:p>
      <w:pPr>
        <w:pStyle w:val="Heading2"/>
      </w:pPr>
      <w:r>
        <w:t xml:space="preserve">4.4 French Open Science Monitor indicators and dashboards</w:t>
      </w:r>
    </w:p>
    <w:p>
      <w:pPr>
        <w:pStyle w:val="FirstParagraph"/>
      </w:pPr>
      <w:r>
        <w:t xml:space="preserve">…</w:t>
      </w:r>
    </w:p>
    <w:p>
      <w:pPr>
        <w:pStyle w:val="BodyText"/>
      </w:pPr>
      <w:r>
        <w:t xml:space="preserve">One of the ojectives of the French Open Science Monitor is to provide all research institutions with a local version of the indicators. Similarly as for measuring the openness of research publications on the existing platform, the new indicators can be bounded to datasets and software produced by the researchers only affiliated to a particular organization.</w:t>
      </w:r>
      <w:r>
        <w:t xml:space="preserve"> </w:t>
      </w:r>
      <w:r>
        <w:t xml:space="preserve">The ability to measure the research activity at different scale, from a given organization to the national level has led to the creation of a BSO user group (https://groupes.renater.fr/sympa/info/bso-etablissements).</w:t>
      </w:r>
    </w:p>
    <w:bookmarkEnd w:id="73"/>
    <w:bookmarkStart w:id="79" w:name="limitations-and-future-work"/>
    <w:p>
      <w:pPr>
        <w:pStyle w:val="Heading2"/>
      </w:pPr>
      <w:r>
        <w:t xml:space="preserve">5 Limitations and future work</w:t>
      </w:r>
    </w:p>
    <w:bookmarkStart w:id="74" w:name="limitations"/>
    <w:p>
      <w:pPr>
        <w:pStyle w:val="Heading3"/>
      </w:pPr>
      <w:r>
        <w:t xml:space="preserve">5.1 Limitations</w:t>
      </w:r>
    </w:p>
    <w:bookmarkEnd w:id="74"/>
    <w:bookmarkStart w:id="78" w:name="future-work"/>
    <w:p>
      <w:pPr>
        <w:pStyle w:val="Heading3"/>
      </w:pPr>
      <w:r>
        <w:t xml:space="preserve">5.2 Future work</w:t>
      </w:r>
    </w:p>
    <w:bookmarkStart w:id="75" w:name="domain-coverage"/>
    <w:p>
      <w:pPr>
        <w:pStyle w:val="Heading4"/>
      </w:pPr>
      <w:r>
        <w:t xml:space="preserve">5.2.1 Domain coverage</w:t>
      </w:r>
    </w:p>
    <w:p>
      <w:pPr>
        <w:pStyle w:val="FirstParagraph"/>
      </w:pPr>
      <w:r>
        <w:t xml:space="preserve">Dataset and software mention recognizers are limited by the poor multidisciplinary coverage of the training data.</w:t>
      </w:r>
      <w:r>
        <w:t xml:space="preserve"> </w:t>
      </w:r>
      <w:r>
        <w:t xml:space="preserve">(Lopez et al. 2021)</w:t>
      </w:r>
      <w:r>
        <w:t xml:space="preserve"> </w:t>
      </w:r>
      <w:r>
        <w:t xml:space="preserve">shows that the recognition performance falls by around 20 points F1-score on a new scientific domain.</w:t>
      </w:r>
    </w:p>
    <w:bookmarkEnd w:id="75"/>
    <w:bookmarkStart w:id="76" w:name="Xa18e8592c1f07fbddbef940a4e2a4d52031ce85"/>
    <w:p>
      <w:pPr>
        <w:pStyle w:val="Heading4"/>
      </w:pPr>
      <w:r>
        <w:t xml:space="preserve">5.2.2 Large-scale research entity disambiguation</w:t>
      </w:r>
    </w:p>
    <w:bookmarkEnd w:id="76"/>
    <w:bookmarkStart w:id="77" w:name="local-open-science-monitor"/>
    <w:p>
      <w:pPr>
        <w:pStyle w:val="Heading4"/>
      </w:pPr>
      <w:r>
        <w:t xml:space="preserve">5.2.3 Local Open Science Monitor</w:t>
      </w:r>
    </w:p>
    <w:bookmarkEnd w:id="77"/>
    <w:bookmarkEnd w:id="78"/>
    <w:bookmarkEnd w:id="79"/>
    <w:bookmarkEnd w:id="80"/>
    <w:bookmarkStart w:id="81" w:name="data-and-software-availability"/>
    <w:p>
      <w:pPr>
        <w:pStyle w:val="Heading1"/>
      </w:pPr>
      <w:r>
        <w:t xml:space="preserve">Data and software availability</w:t>
      </w:r>
    </w:p>
    <w:p>
      <w:pPr>
        <w:pStyle w:val="FirstParagraph"/>
      </w:pPr>
      <w:r>
        <w:t xml:space="preserve">The data resulting from this work are publicly available on the French Ministry of Higher Education and Research open data portal:</w:t>
      </w:r>
    </w:p>
    <w:p>
      <w:pPr>
        <w:pStyle w:val="BodyText"/>
      </w:pPr>
      <w:r>
        <w:t xml:space="preserve">The source code used for the French Open Science Monitor is available on GitHub, and shared with open source licences.</w:t>
      </w:r>
    </w:p>
    <w:bookmarkEnd w:id="81"/>
    <w:bookmarkStart w:id="82" w:name="acknowledgements"/>
    <w:p>
      <w:pPr>
        <w:pStyle w:val="Heading1"/>
      </w:pPr>
      <w:r>
        <w:t xml:space="preserve">Acknowledgements</w:t>
      </w:r>
    </w:p>
    <w:p>
      <w:pPr>
        <w:pStyle w:val="FirstParagraph"/>
      </w:pPr>
      <w:r>
        <w:t xml:space="preserve">The extension of the French Open Science Monitor (BSO) presented in this document was supported by France Relance/NextGenerationEU funding.</w:t>
      </w:r>
    </w:p>
    <w:p>
      <w:pPr>
        <w:pStyle w:val="BodyText"/>
      </w:pPr>
      <w:r>
        <w:t xml:space="preserve">Previous work on the Softcite dataset and the Softcite Software mention recognizer was supported by the Alfred P. Sloan Foundation, Grant/Award Number: 2016-7209 (2018-2020) and the Gordon and Betty Moore Foundation, Grant/Award Number 8622 (2021). We also acknowledge the Jetstream cloud environment part of XSEDE and the Texas Advanced Computing Center (TACC) at The University of Texas at Austin for providing computing resources that have contributed to the creation of these resources in 2021. DataStet is a fork of dataseer-ml, developed in the context of the DataSeer project (2019-2020), supported by the Alfred P. Sloan Foundation.</w:t>
      </w:r>
    </w:p>
    <w:bookmarkEnd w:id="82"/>
    <w:bookmarkStart w:id="144" w:name="references"/>
    <w:p>
      <w:pPr>
        <w:pStyle w:val="Heading1"/>
      </w:pPr>
      <w:r>
        <w:t xml:space="preserve">References</w:t>
      </w:r>
    </w:p>
    <w:bookmarkStart w:id="143" w:name="refs"/>
    <w:bookmarkStart w:id="84" w:name="ref-beltagy2019scibert"/>
    <w:p>
      <w:pPr>
        <w:pStyle w:val="Bibliography"/>
      </w:pPr>
      <w:r>
        <w:t xml:space="preserve">Beltagy, Iz, Kyle Lo, and Arman Cohan. 2019. “SciBERT: A Pretrained Language Model for Scientific Text.”</w:t>
      </w:r>
      <w:r>
        <w:t xml:space="preserve"> </w:t>
      </w:r>
      <w:hyperlink r:id="rId83">
        <w:r>
          <w:rPr>
            <w:rStyle w:val="Hyperlink"/>
          </w:rPr>
          <w:t xml:space="preserve">http://arxiv.org/abs/1903.10676</w:t>
        </w:r>
      </w:hyperlink>
      <w:r>
        <w:t xml:space="preserve">.</w:t>
      </w:r>
    </w:p>
    <w:bookmarkEnd w:id="84"/>
    <w:bookmarkStart w:id="86" w:name="ref-bracco_extending_2022"/>
    <w:p>
      <w:pPr>
        <w:pStyle w:val="Bibliography"/>
      </w:pPr>
      <w:r>
        <w:t xml:space="preserve">Bracco, Laetitia, L’Hôte, Anne, Jeangirard, Eric, and Torny, Didier. 2022. “Extending the Open Monitoring of Open Science: A New Framework for the French Open Science Monitor (BSO).”</w:t>
      </w:r>
      <w:r>
        <w:t xml:space="preserve"> </w:t>
      </w:r>
      <w:hyperlink r:id="rId85">
        <w:r>
          <w:rPr>
            <w:rStyle w:val="Hyperlink"/>
          </w:rPr>
          <w:t xml:space="preserve">https://hal.archives-ouvertes.fr/hal-03651518</w:t>
        </w:r>
      </w:hyperlink>
      <w:r>
        <w:t xml:space="preserve">.</w:t>
      </w:r>
    </w:p>
    <w:bookmarkEnd w:id="86"/>
    <w:bookmarkStart w:id="87" w:name="ref-10.5555/1870658.1870756"/>
    <w:p>
      <w:pPr>
        <w:pStyle w:val="Bibliography"/>
      </w:pPr>
      <w:r>
        <w:t xml:space="preserve">Chiticariu, Laura, Rajasekar Krishnamurthy, Yunyao Li, Frederick Reiss, and Shivakumar Vaithyanathan. 2010. “Domain Adaptation of Rule-Based Annotators for Named-Entity Recognition Tasks.” In</w:t>
      </w:r>
      <w:r>
        <w:t xml:space="preserve"> </w:t>
      </w:r>
      <w:r>
        <w:rPr>
          <w:i/>
        </w:rPr>
        <w:t xml:space="preserve">Proceedings of the 2010 Conference on Empirical Methods in Natural Language Processing</w:t>
      </w:r>
      <w:r>
        <w:t xml:space="preserve">, 1002–12. EMNLP ’10. USA: Association for Computational Linguistics.</w:t>
      </w:r>
    </w:p>
    <w:bookmarkEnd w:id="87"/>
    <w:bookmarkStart w:id="89" w:name="ref-10.5334/dsj-2019-009"/>
    <w:p>
      <w:pPr>
        <w:pStyle w:val="Bibliography"/>
      </w:pPr>
      <w:r>
        <w:t xml:space="preserve">Cousijn, Feeney, H., and N. Simons. 2019. “Bringing Citations and Usage Metrics Together to Make Data Count.”</w:t>
      </w:r>
      <w:r>
        <w:t xml:space="preserve"> </w:t>
      </w:r>
      <w:r>
        <w:rPr>
          <w:i/>
        </w:rPr>
        <w:t xml:space="preserve">Data Science Journal</w:t>
      </w:r>
      <w:r>
        <w:t xml:space="preserve"> </w:t>
      </w:r>
      <w:r>
        <w:t xml:space="preserve">18 (1): 9.</w:t>
      </w:r>
      <w:r>
        <w:t xml:space="preserve"> </w:t>
      </w:r>
      <w:hyperlink r:id="rId88">
        <w:r>
          <w:rPr>
            <w:rStyle w:val="Hyperlink"/>
          </w:rPr>
          <w:t xml:space="preserve">https://doi.org/http://doi.org/10.5334/dsj-2019-009</w:t>
        </w:r>
      </w:hyperlink>
      <w:r>
        <w:t xml:space="preserve">.</w:t>
      </w:r>
    </w:p>
    <w:bookmarkEnd w:id="89"/>
    <w:bookmarkStart w:id="91" w:name="ref-10.7717/peerj-cs.835"/>
    <w:p>
      <w:pPr>
        <w:pStyle w:val="Bibliography"/>
      </w:pPr>
      <w:r>
        <w:t xml:space="preserve">David, Schindler, Bensmann Felix, Dietze Stefan, and Krüger Frank. n.d. “The Role of Software in Science: A Knowledge Graph-Based Analysis of Software Mentions in PubMed Central.”</w:t>
      </w:r>
      <w:r>
        <w:t xml:space="preserve"> </w:t>
      </w:r>
      <w:r>
        <w:rPr>
          <w:i/>
        </w:rPr>
        <w:t xml:space="preserve">PeerJ Computer Science</w:t>
      </w:r>
      <w:r>
        <w:t xml:space="preserve"> </w:t>
      </w:r>
      <w:r>
        <w:t xml:space="preserve">8: e835. Accessed 2022.</w:t>
      </w:r>
      <w:r>
        <w:t xml:space="preserve"> </w:t>
      </w:r>
      <w:hyperlink r:id="rId90">
        <w:r>
          <w:rPr>
            <w:rStyle w:val="Hyperlink"/>
          </w:rPr>
          <w:t xml:space="preserve">https://doi.org/10.7717/peerj-cs.835</w:t>
        </w:r>
      </w:hyperlink>
      <w:r>
        <w:t xml:space="preserve">.</w:t>
      </w:r>
    </w:p>
    <w:bookmarkEnd w:id="91"/>
    <w:bookmarkStart w:id="93" w:name="ref-devlin2018bert"/>
    <w:p>
      <w:pPr>
        <w:pStyle w:val="Bibliography"/>
      </w:pPr>
      <w:r>
        <w:t xml:space="preserve">Devlin, Jacob, Ming-Wei Chang, Kenton Lee, and Kristina Toutanova. 2018. “BERT: Pre-Training of Deep Bidirectional Transformers for Language Understanding.”</w:t>
      </w:r>
      <w:r>
        <w:t xml:space="preserve"> </w:t>
      </w:r>
      <w:hyperlink r:id="rId92">
        <w:r>
          <w:rPr>
            <w:rStyle w:val="Hyperlink"/>
          </w:rPr>
          <w:t xml:space="preserve">http://arxiv.org/abs/1810.04805</w:t>
        </w:r>
      </w:hyperlink>
      <w:r>
        <w:t xml:space="preserve">.</w:t>
      </w:r>
    </w:p>
    <w:bookmarkEnd w:id="93"/>
    <w:bookmarkStart w:id="95" w:name="ref-du_softcite_2021"/>
    <w:p>
      <w:pPr>
        <w:pStyle w:val="Bibliography"/>
      </w:pPr>
      <w:r>
        <w:t xml:space="preserve">Du, Caifan, Johanna Cohoon, Patrice Lopez, and James Howison. 2021. “Softcite Dataset: A Dataset of Software Mentions in Biomedical and Economic Research Publications.”</w:t>
      </w:r>
      <w:r>
        <w:t xml:space="preserve"> </w:t>
      </w:r>
      <w:r>
        <w:rPr>
          <w:i/>
        </w:rPr>
        <w:t xml:space="preserve">Journal of the Association for Information Science and Technology</w:t>
      </w:r>
      <w:r>
        <w:t xml:space="preserve"> </w:t>
      </w:r>
      <w:r>
        <w:t xml:space="preserve">72 (7): 870–84.</w:t>
      </w:r>
      <w:r>
        <w:t xml:space="preserve"> </w:t>
      </w:r>
      <w:hyperlink r:id="rId94">
        <w:r>
          <w:rPr>
            <w:rStyle w:val="Hyperlink"/>
          </w:rPr>
          <w:t xml:space="preserve">https://doi.org/10.1002/asi.24454</w:t>
        </w:r>
      </w:hyperlink>
      <w:r>
        <w:t xml:space="preserve">.</w:t>
      </w:r>
    </w:p>
    <w:bookmarkEnd w:id="95"/>
    <w:bookmarkStart w:id="97" w:name="ref-du_peerj_2022"/>
    <w:p>
      <w:pPr>
        <w:pStyle w:val="Bibliography"/>
      </w:pPr>
      <w:r>
        <w:t xml:space="preserve">———. n.d. “Understanding Progress in Software Citation: A Study of Software Citation in the CORD-19 Corpus.”</w:t>
      </w:r>
      <w:r>
        <w:t xml:space="preserve"> </w:t>
      </w:r>
      <w:r>
        <w:rPr>
          <w:i/>
        </w:rPr>
        <w:t xml:space="preserve">PeerJ Computer Science</w:t>
      </w:r>
      <w:r>
        <w:t xml:space="preserve"> </w:t>
      </w:r>
      <w:r>
        <w:t xml:space="preserve">8: e1022. Accessed July 25, 2022.</w:t>
      </w:r>
      <w:r>
        <w:t xml:space="preserve"> </w:t>
      </w:r>
      <w:hyperlink r:id="rId96">
        <w:r>
          <w:rPr>
            <w:rStyle w:val="Hyperlink"/>
          </w:rPr>
          <w:t xml:space="preserve">https://doi.org/10.7717/peerj-cs.1022</w:t>
        </w:r>
      </w:hyperlink>
      <w:r>
        <w:t xml:space="preserve">.</w:t>
      </w:r>
    </w:p>
    <w:bookmarkEnd w:id="97"/>
    <w:bookmarkStart w:id="99" w:name="ref-he_han_2017"/>
    <w:p>
      <w:pPr>
        <w:pStyle w:val="Bibliography"/>
      </w:pPr>
      <w:r>
        <w:t xml:space="preserve">He, L., and Z. Han. 2017. “Do Usage Counts of Scientific Data Make Sense? An Investigation of the Dryad Repository.”</w:t>
      </w:r>
      <w:r>
        <w:t xml:space="preserve"> </w:t>
      </w:r>
      <w:r>
        <w:rPr>
          <w:i/>
        </w:rPr>
        <w:t xml:space="preserve">Library Hi Tech</w:t>
      </w:r>
      <w:r>
        <w:t xml:space="preserve"> </w:t>
      </w:r>
      <w:r>
        <w:t xml:space="preserve">35 (2): 332–42.</w:t>
      </w:r>
      <w:r>
        <w:t xml:space="preserve"> </w:t>
      </w:r>
      <w:hyperlink r:id="rId98">
        <w:r>
          <w:rPr>
            <w:rStyle w:val="Hyperlink"/>
          </w:rPr>
          <w:t xml:space="preserve">https://doi.org/10.1108/LHT-12-2016-0158</w:t>
        </w:r>
      </w:hyperlink>
      <w:r>
        <w:t xml:space="preserve">.</w:t>
      </w:r>
    </w:p>
    <w:bookmarkEnd w:id="99"/>
    <w:bookmarkStart w:id="101" w:name="ref-howison_software_2016"/>
    <w:p>
      <w:pPr>
        <w:pStyle w:val="Bibliography"/>
      </w:pPr>
      <w:r>
        <w:t xml:space="preserve">Howison, James, and Julia Bullard. 2016. “Software in the Scientific Literature: Problems with Seeing, Finding, and Using Software Mentioned in the Biology Literature.”</w:t>
      </w:r>
      <w:r>
        <w:t xml:space="preserve"> </w:t>
      </w:r>
      <w:r>
        <w:rPr>
          <w:i/>
        </w:rPr>
        <w:t xml:space="preserve">Journal of the Association for Information Science and Technology</w:t>
      </w:r>
      <w:r>
        <w:t xml:space="preserve"> </w:t>
      </w:r>
      <w:r>
        <w:t xml:space="preserve">67 (9): 2137–55.</w:t>
      </w:r>
      <w:r>
        <w:t xml:space="preserve"> </w:t>
      </w:r>
      <w:hyperlink r:id="rId100">
        <w:r>
          <w:rPr>
            <w:rStyle w:val="Hyperlink"/>
          </w:rPr>
          <w:t xml:space="preserve">https://doi.org/10.1002/asi.23538</w:t>
        </w:r>
      </w:hyperlink>
      <w:r>
        <w:t xml:space="preserve">.</w:t>
      </w:r>
    </w:p>
    <w:bookmarkEnd w:id="101"/>
    <w:bookmarkStart w:id="103" w:name="ref-istrate_2022"/>
    <w:p>
      <w:pPr>
        <w:pStyle w:val="Bibliography"/>
      </w:pPr>
      <w:r>
        <w:t xml:space="preserve">Istrate, Ana-Maria, Donghui Li, Dario Taraborelli, Michaela Torkar, Boris Veytsman, and Ivana Williams. 2022. “A Large Dataset of Software Mentions in the Biomedical Literature.” arXiv.</w:t>
      </w:r>
      <w:r>
        <w:t xml:space="preserve"> </w:t>
      </w:r>
      <w:hyperlink r:id="rId102">
        <w:r>
          <w:rPr>
            <w:rStyle w:val="Hyperlink"/>
          </w:rPr>
          <w:t xml:space="preserve">https://arxiv.org/abs/2209.00693</w:t>
        </w:r>
      </w:hyperlink>
      <w:r>
        <w:t xml:space="preserve">.</w:t>
      </w:r>
    </w:p>
    <w:bookmarkEnd w:id="103"/>
    <w:bookmarkStart w:id="105" w:name="ref-kruger_literature_2020"/>
    <w:p>
      <w:pPr>
        <w:pStyle w:val="Bibliography"/>
      </w:pPr>
      <w:r>
        <w:t xml:space="preserve">Krüger, Frank, and David Schindler. 2020. “A Literature Review on Methods for the Extraction of Usage Statements of Software and Data.”</w:t>
      </w:r>
      <w:r>
        <w:t xml:space="preserve"> </w:t>
      </w:r>
      <w:r>
        <w:rPr>
          <w:i/>
        </w:rPr>
        <w:t xml:space="preserve">Computing in Science Engineering</w:t>
      </w:r>
      <w:r>
        <w:t xml:space="preserve"> </w:t>
      </w:r>
      <w:r>
        <w:t xml:space="preserve">22 (1): 26–38.</w:t>
      </w:r>
      <w:r>
        <w:t xml:space="preserve"> </w:t>
      </w:r>
      <w:hyperlink r:id="rId104">
        <w:r>
          <w:rPr>
            <w:rStyle w:val="Hyperlink"/>
          </w:rPr>
          <w:t xml:space="preserve">https://doi.org/10.1109/MCSE.2019.2943847</w:t>
        </w:r>
      </w:hyperlink>
      <w:r>
        <w:t xml:space="preserve">.</w:t>
      </w:r>
    </w:p>
    <w:bookmarkEnd w:id="105"/>
    <w:bookmarkStart w:id="107" w:name="ref-10.1002/pra2.614"/>
    <w:p>
      <w:pPr>
        <w:pStyle w:val="Bibliography"/>
      </w:pPr>
      <w:r>
        <w:t xml:space="preserve">Lafia, Sara, Lizhou Fan, and Libby Hemphill. 2022. “A Natural Language Processing Pipeline for Detecting Informal Data References in Academic Literature.”</w:t>
      </w:r>
      <w:r>
        <w:t xml:space="preserve"> </w:t>
      </w:r>
      <w:r>
        <w:rPr>
          <w:i/>
        </w:rPr>
        <w:t xml:space="preserve">Proceedings of the Association for Information Science and Technology</w:t>
      </w:r>
      <w:r>
        <w:t xml:space="preserve"> </w:t>
      </w:r>
      <w:r>
        <w:t xml:space="preserve">59 (1): 169–78.</w:t>
      </w:r>
      <w:r>
        <w:t xml:space="preserve"> </w:t>
      </w:r>
      <w:hyperlink r:id="rId106">
        <w:r>
          <w:rPr>
            <w:rStyle w:val="Hyperlink"/>
          </w:rPr>
          <w:t xml:space="preserve">https://doi.org/https://doi.org/10.1002/pra2.614</w:t>
        </w:r>
      </w:hyperlink>
      <w:r>
        <w:t xml:space="preserve">.</w:t>
      </w:r>
    </w:p>
    <w:bookmarkEnd w:id="107"/>
    <w:bookmarkStart w:id="109" w:name="ref-Larregue_2020"/>
    <w:p>
      <w:pPr>
        <w:pStyle w:val="Bibliography"/>
      </w:pPr>
      <w:r>
        <w:t xml:space="preserve">Larregue, Julien, Vincent-Lamarre, Philippe, Lebaron, Frédéric and Larivière, Vincent. 2020. “Covid-19: where is the data?” Impact of Social Sciences Blog.</w:t>
      </w:r>
      <w:r>
        <w:t xml:space="preserve"> </w:t>
      </w:r>
      <w:hyperlink r:id="rId108">
        <w:r>
          <w:rPr>
            <w:rStyle w:val="Hyperlink"/>
          </w:rPr>
          <w:t xml:space="preserve">https://doi.org/10.5281/zenodo.2585783</w:t>
        </w:r>
      </w:hyperlink>
      <w:r>
        <w:t xml:space="preserve">.</w:t>
      </w:r>
    </w:p>
    <w:bookmarkEnd w:id="109"/>
    <w:bookmarkStart w:id="111" w:name="ref-LAURINAVICHYUTE2022104332"/>
    <w:p>
      <w:pPr>
        <w:pStyle w:val="Bibliography"/>
      </w:pPr>
      <w:r>
        <w:t xml:space="preserve">Laurinavichyute, Anna, Himanshu Yadav, and Shravan Vasishth. 2022. “Share the Code, Not Just the Data: A Case Study of the Reproducibility of Articles Published in the Journal of Memory and Language Under the Open Data Policy.”</w:t>
      </w:r>
      <w:r>
        <w:t xml:space="preserve"> </w:t>
      </w:r>
      <w:r>
        <w:rPr>
          <w:i/>
        </w:rPr>
        <w:t xml:space="preserve">Journal of Memory and Language</w:t>
      </w:r>
      <w:r>
        <w:t xml:space="preserve"> </w:t>
      </w:r>
      <w:r>
        <w:t xml:space="preserve">125: 104332.</w:t>
      </w:r>
      <w:r>
        <w:t xml:space="preserve"> </w:t>
      </w:r>
      <w:hyperlink r:id="rId110">
        <w:r>
          <w:rPr>
            <w:rStyle w:val="Hyperlink"/>
          </w:rPr>
          <w:t xml:space="preserve">https://doi.org/https://doi.org/10.1016/j.jml.2022.104332</w:t>
        </w:r>
      </w:hyperlink>
      <w:r>
        <w:t xml:space="preserve">.</w:t>
      </w:r>
    </w:p>
    <w:bookmarkEnd w:id="111"/>
    <w:bookmarkStart w:id="112" w:name="ref-LeeDeleris:2020"/>
    <w:p>
      <w:pPr>
        <w:pStyle w:val="Bibliography"/>
      </w:pPr>
      <w:r>
        <w:t xml:space="preserve">Lee, Jaebeen, and Lea Deleris. 2020. “Sequencing, Combining and Sampling Classifiers to Help Find Needles in Haystacks.” In</w:t>
      </w:r>
      <w:r>
        <w:t xml:space="preserve"> </w:t>
      </w:r>
      <w:r>
        <w:rPr>
          <w:i/>
        </w:rPr>
        <w:t xml:space="preserve">24th European Conference on Artificial Intelligence, Ecai</w:t>
      </w:r>
      <w:r>
        <w:t xml:space="preserve">. Santiago de Compostela, Spain.</w:t>
      </w:r>
    </w:p>
    <w:bookmarkEnd w:id="112"/>
    <w:bookmarkStart w:id="114" w:name="ref-10.1145/3459637.3481936"/>
    <w:p>
      <w:pPr>
        <w:pStyle w:val="Bibliography"/>
      </w:pPr>
      <w:r>
        <w:t xml:space="preserve">Lopez, Patrice, Caifan Du, Johanna Cohoon, Karthik Ram, and James Howison. 2021. “Mining Software Entities in Scientific Literature: Document-Level NER for an Extremely Imbalance and Large-Scale Task.” In</w:t>
      </w:r>
      <w:r>
        <w:t xml:space="preserve"> </w:t>
      </w:r>
      <w:r>
        <w:rPr>
          <w:i/>
        </w:rPr>
        <w:t xml:space="preserve">Proceedings of the 30th Acm International Conference on Information &amp; Knowledge Management</w:t>
      </w:r>
      <w:r>
        <w:t xml:space="preserve">, 3986–95. CIKM ’21. New York, NY, USA: Association for Computing Machinery.</w:t>
      </w:r>
      <w:r>
        <w:t xml:space="preserve"> </w:t>
      </w:r>
      <w:hyperlink r:id="rId113">
        <w:r>
          <w:rPr>
            <w:rStyle w:val="Hyperlink"/>
          </w:rPr>
          <w:t xml:space="preserve">https://doi.org/10.1145/3459637.3481936</w:t>
        </w:r>
      </w:hyperlink>
      <w:r>
        <w:t xml:space="preserve">.</w:t>
      </w:r>
    </w:p>
    <w:bookmarkEnd w:id="114"/>
    <w:bookmarkStart w:id="115" w:name="ref-macgregor2022exploring"/>
    <w:p>
      <w:pPr>
        <w:pStyle w:val="Bibliography"/>
      </w:pPr>
      <w:r>
        <w:t xml:space="preserve">Macgregor, George, Barbara S Lancho-Barrantes, and Diane Rasmussen Pennington. 2022. “Exploring the Concept of Pid Literacy: User Perceptions and Understanding of Persistent Identifiers in Support of Open Scholarly Infrastructure.”</w:t>
      </w:r>
      <w:r>
        <w:t xml:space="preserve"> </w:t>
      </w:r>
      <w:r>
        <w:rPr>
          <w:i/>
        </w:rPr>
        <w:t xml:space="preserve">arXiv Preprint arXiv:2211.07367</w:t>
      </w:r>
      <w:r>
        <w:t xml:space="preserve">.</w:t>
      </w:r>
    </w:p>
    <w:bookmarkEnd w:id="115"/>
    <w:bookmarkStart w:id="117" w:name="ref-McKenzie_2017"/>
    <w:p>
      <w:pPr>
        <w:pStyle w:val="Bibliography"/>
      </w:pPr>
      <w:r>
        <w:t xml:space="preserve">McKenzie, Lindsay. 2017. “Want to Analyze Millions of Scientific Papers All at Once? Here’s the Best Way to Do It.”</w:t>
      </w:r>
      <w:r>
        <w:t xml:space="preserve"> </w:t>
      </w:r>
      <w:r>
        <w:rPr>
          <w:i/>
        </w:rPr>
        <w:t xml:space="preserve">Science</w:t>
      </w:r>
      <w:r>
        <w:t xml:space="preserve">, July.</w:t>
      </w:r>
      <w:r>
        <w:t xml:space="preserve"> </w:t>
      </w:r>
      <w:hyperlink r:id="rId116">
        <w:r>
          <w:rPr>
            <w:rStyle w:val="Hyperlink"/>
          </w:rPr>
          <w:t xml:space="preserve">https://doi.org/10.1126/science.aan7139</w:t>
        </w:r>
      </w:hyperlink>
      <w:r>
        <w:t xml:space="preserve">.</w:t>
      </w:r>
    </w:p>
    <w:bookmarkEnd w:id="117"/>
    <w:bookmarkStart w:id="119" w:name="ref-mesri_national_2018"/>
    <w:p>
      <w:pPr>
        <w:pStyle w:val="Bibliography"/>
      </w:pPr>
      <w:r>
        <w:t xml:space="preserve">MESR. 2018. “National Plan for Open Science.”</w:t>
      </w:r>
      <w:r>
        <w:t xml:space="preserve"> </w:t>
      </w:r>
      <w:hyperlink r:id="rId118">
        <w:r>
          <w:rPr>
            <w:rStyle w:val="Hyperlink"/>
          </w:rPr>
          <w:t xml:space="preserve">https://cache.media.enseignementsup-recherche.gouv.fr/file/Recherche/50/1/SO_A4_2018_EN_01_leger_982501.pdf</w:t>
        </w:r>
      </w:hyperlink>
      <w:r>
        <w:t xml:space="preserve">.</w:t>
      </w:r>
    </w:p>
    <w:bookmarkEnd w:id="119"/>
    <w:bookmarkStart w:id="121" w:name="ref-mesri_2nd_2021"/>
    <w:p>
      <w:pPr>
        <w:pStyle w:val="Bibliography"/>
      </w:pPr>
      <w:r>
        <w:t xml:space="preserve">———. 2021. “2nd National Plan for Open Science.”</w:t>
      </w:r>
      <w:r>
        <w:t xml:space="preserve"> </w:t>
      </w:r>
      <w:hyperlink r:id="rId120">
        <w:r>
          <w:rPr>
            <w:rStyle w:val="Hyperlink"/>
          </w:rPr>
          <w:t xml:space="preserve">https://cache.media.enseignementsup-recherche.gouv.fr/file/science_ouverte/20/9/MEN_brochure_PNSO_web_1415209.pdf</w:t>
        </w:r>
      </w:hyperlink>
      <w:r>
        <w:t xml:space="preserve">.</w:t>
      </w:r>
    </w:p>
    <w:bookmarkEnd w:id="121"/>
    <w:bookmarkStart w:id="123" w:name="ref-10.1087/20110204"/>
    <w:p>
      <w:pPr>
        <w:pStyle w:val="Bibliography"/>
      </w:pPr>
      <w:r>
        <w:t xml:space="preserve">MOONEY, Hailey. 2011. “Citing Data Sources in the Social Sciences: Do Authors Do It?”</w:t>
      </w:r>
      <w:r>
        <w:t xml:space="preserve"> </w:t>
      </w:r>
      <w:r>
        <w:rPr>
          <w:i/>
        </w:rPr>
        <w:t xml:space="preserve">Learned Publishing</w:t>
      </w:r>
      <w:r>
        <w:t xml:space="preserve"> </w:t>
      </w:r>
      <w:r>
        <w:t xml:space="preserve">24 (2): 99–108.</w:t>
      </w:r>
      <w:r>
        <w:t xml:space="preserve"> </w:t>
      </w:r>
      <w:hyperlink r:id="rId122">
        <w:r>
          <w:rPr>
            <w:rStyle w:val="Hyperlink"/>
          </w:rPr>
          <w:t xml:space="preserve">https://doi.org/https://doi.org/10.1087/20110204</w:t>
        </w:r>
      </w:hyperlink>
      <w:r>
        <w:t xml:space="preserve">.</w:t>
      </w:r>
    </w:p>
    <w:bookmarkEnd w:id="123"/>
    <w:bookmarkStart w:id="125" w:name="ref-10.1002/asi.24049"/>
    <w:p>
      <w:pPr>
        <w:pStyle w:val="Bibliography"/>
      </w:pPr>
      <w:r>
        <w:t xml:space="preserve">Park, Hyoungjoo, Sukjin You, and Dietmar Wolfram. 2018. “Informal Data Citation for Data Sharing and Reuse Is More Common Than Formal Data Citation in Biomedical Fields.”</w:t>
      </w:r>
      <w:r>
        <w:t xml:space="preserve"> </w:t>
      </w:r>
      <w:r>
        <w:rPr>
          <w:i/>
        </w:rPr>
        <w:t xml:space="preserve">Journal of the Association for Information Science and Technology</w:t>
      </w:r>
      <w:r>
        <w:t xml:space="preserve"> </w:t>
      </w:r>
      <w:r>
        <w:t xml:space="preserve">69 (11): 1346–54.</w:t>
      </w:r>
      <w:r>
        <w:t xml:space="preserve"> </w:t>
      </w:r>
      <w:hyperlink r:id="rId124">
        <w:r>
          <w:rPr>
            <w:rStyle w:val="Hyperlink"/>
          </w:rPr>
          <w:t xml:space="preserve">https://doi.org/https://doi.org/10.1002/asi.24049</w:t>
        </w:r>
      </w:hyperlink>
      <w:r>
        <w:t xml:space="preserve">.</w:t>
      </w:r>
    </w:p>
    <w:bookmarkEnd w:id="125"/>
    <w:bookmarkStart w:id="126" w:name="ref-olivier_philippe_2019_2585783"/>
    <w:p>
      <w:pPr>
        <w:pStyle w:val="Bibliography"/>
      </w:pPr>
      <w:r>
        <w:t xml:space="preserve">Philippe, Olivier, Martin Hammitzsch, Stephan Janosch, Anelda van der Walt, Ben van Werkhoven, Simon Hettrick, Daniel S. Katz, et al. 2019. “softwaresaved/international-survey: Public release for 2018 results.” Zenodo.</w:t>
      </w:r>
      <w:r>
        <w:t xml:space="preserve"> </w:t>
      </w:r>
      <w:hyperlink r:id="rId108">
        <w:r>
          <w:rPr>
            <w:rStyle w:val="Hyperlink"/>
          </w:rPr>
          <w:t xml:space="preserve">https://doi.org/10.5281/zenodo.2585783</w:t>
        </w:r>
      </w:hyperlink>
      <w:r>
        <w:t xml:space="preserve">.</w:t>
      </w:r>
    </w:p>
    <w:bookmarkEnd w:id="126"/>
    <w:bookmarkStart w:id="128" w:name="ref-10.5334/dsj-2020-042"/>
    <w:p>
      <w:pPr>
        <w:pStyle w:val="Bibliography"/>
      </w:pPr>
      <w:r>
        <w:t xml:space="preserve">Riedel, N., M. Kip, and E. Bobrov. 2020. “ODDPub - a Text-Mining Algorithm to Detect Data Sharing in Biomedical Publications.”</w:t>
      </w:r>
      <w:r>
        <w:t xml:space="preserve"> </w:t>
      </w:r>
      <w:r>
        <w:rPr>
          <w:i/>
        </w:rPr>
        <w:t xml:space="preserve">Data Science Journal</w:t>
      </w:r>
      <w:r>
        <w:t xml:space="preserve"> </w:t>
      </w:r>
      <w:r>
        <w:t xml:space="preserve">19 (1): 42.</w:t>
      </w:r>
      <w:r>
        <w:t xml:space="preserve"> </w:t>
      </w:r>
      <w:hyperlink r:id="rId127">
        <w:r>
          <w:rPr>
            <w:rStyle w:val="Hyperlink"/>
          </w:rPr>
          <w:t xml:space="preserve">https://doi.org/http://doi.org/10.5334/dsj-2020-042</w:t>
        </w:r>
      </w:hyperlink>
      <w:r>
        <w:t xml:space="preserve">.</w:t>
      </w:r>
    </w:p>
    <w:bookmarkEnd w:id="128"/>
    <w:bookmarkStart w:id="130" w:name="ref-10.1145/3459637.3482017"/>
    <w:p>
      <w:pPr>
        <w:pStyle w:val="Bibliography"/>
      </w:pPr>
      <w:r>
        <w:t xml:space="preserve">Schindler, David, Felix Bensmann, Stefan Dietze, and Frank Krüger. 2021. “SoMeSci- a 5 Star Open Data Gold Standard Knowledge Graph of Software Mentions in Scientific Articles.” In</w:t>
      </w:r>
      <w:r>
        <w:t xml:space="preserve"> </w:t>
      </w:r>
      <w:r>
        <w:rPr>
          <w:i/>
        </w:rPr>
        <w:t xml:space="preserve">Proceedings of the 30th Acm International Conference on Information &amp; Knowledge Management</w:t>
      </w:r>
      <w:r>
        <w:t xml:space="preserve">, 4574–83. CIKM ’21. New York, NY, USA: Association for Computing Machinery.</w:t>
      </w:r>
      <w:r>
        <w:t xml:space="preserve"> </w:t>
      </w:r>
      <w:hyperlink r:id="rId129">
        <w:r>
          <w:rPr>
            <w:rStyle w:val="Hyperlink"/>
          </w:rPr>
          <w:t xml:space="preserve">https://doi.org/10.1145/3459637.3482017</w:t>
        </w:r>
      </w:hyperlink>
      <w:r>
        <w:t xml:space="preserve">.</w:t>
      </w:r>
    </w:p>
    <w:bookmarkEnd w:id="130"/>
    <w:bookmarkStart w:id="132" w:name="ref-science_2011"/>
    <w:p>
      <w:pPr>
        <w:pStyle w:val="Bibliography"/>
      </w:pPr>
      <w:r>
        <w:t xml:space="preserve">Science staff. 2011. “Challenges and Opportunities.”</w:t>
      </w:r>
      <w:r>
        <w:t xml:space="preserve"> </w:t>
      </w:r>
      <w:r>
        <w:rPr>
          <w:i/>
        </w:rPr>
        <w:t xml:space="preserve">Science</w:t>
      </w:r>
      <w:r>
        <w:t xml:space="preserve"> </w:t>
      </w:r>
      <w:r>
        <w:t xml:space="preserve">331 (6018): 692–93.</w:t>
      </w:r>
      <w:r>
        <w:t xml:space="preserve"> </w:t>
      </w:r>
      <w:hyperlink r:id="rId131">
        <w:r>
          <w:rPr>
            <w:rStyle w:val="Hyperlink"/>
          </w:rPr>
          <w:t xml:space="preserve">https://doi.org/10.1126/science.331.6018.692</w:t>
        </w:r>
      </w:hyperlink>
      <w:r>
        <w:t xml:space="preserve">.</w:t>
      </w:r>
    </w:p>
    <w:bookmarkEnd w:id="132"/>
    <w:bookmarkStart w:id="134" w:name="ref-10.1371/journal.pbio.3001107"/>
    <w:p>
      <w:pPr>
        <w:pStyle w:val="Bibliography"/>
      </w:pPr>
      <w:r>
        <w:t xml:space="preserve">Serghiou S, Contopoulos-Ioannidis DG, Boyack KW, Riedel N, Wallach JD, Ioannidis JPA. 2021. “Assessment of transparency indicators across the biomedical literature: How open is open?”</w:t>
      </w:r>
      <w:r>
        <w:t xml:space="preserve"> </w:t>
      </w:r>
      <w:r>
        <w:rPr>
          <w:i/>
        </w:rPr>
        <w:t xml:space="preserve">PLoS Biol</w:t>
      </w:r>
      <w:r>
        <w:t xml:space="preserve"> </w:t>
      </w:r>
      <w:r>
        <w:t xml:space="preserve">19 (3): e3001107.</w:t>
      </w:r>
      <w:r>
        <w:t xml:space="preserve"> </w:t>
      </w:r>
      <w:hyperlink r:id="rId133">
        <w:r>
          <w:rPr>
            <w:rStyle w:val="Hyperlink"/>
          </w:rPr>
          <w:t xml:space="preserve">https://doi.org/https://doi.org/10.1371/journal.pbio.3001107</w:t>
        </w:r>
      </w:hyperlink>
      <w:r>
        <w:t xml:space="preserve">.</w:t>
      </w:r>
    </w:p>
    <w:bookmarkEnd w:id="134"/>
    <w:bookmarkStart w:id="136" w:name="ref-10.1371/journal.pone.0134826"/>
    <w:p>
      <w:pPr>
        <w:pStyle w:val="Bibliography"/>
      </w:pPr>
      <w:r>
        <w:t xml:space="preserve">Tenopir, Elizabeth D. AND Allard, Carol AND Dalton. 2015. “Changes in Data Sharing and Data Reuse Practices and Perceptions Among Scientists Worldwide.”</w:t>
      </w:r>
      <w:r>
        <w:t xml:space="preserve"> </w:t>
      </w:r>
      <w:r>
        <w:rPr>
          <w:i/>
        </w:rPr>
        <w:t xml:space="preserve">PLOS ONE</w:t>
      </w:r>
      <w:r>
        <w:t xml:space="preserve"> </w:t>
      </w:r>
      <w:r>
        <w:t xml:space="preserve">10 (8): 1–24.</w:t>
      </w:r>
      <w:r>
        <w:t xml:space="preserve"> </w:t>
      </w:r>
      <w:hyperlink r:id="rId135">
        <w:r>
          <w:rPr>
            <w:rStyle w:val="Hyperlink"/>
          </w:rPr>
          <w:t xml:space="preserve">https://doi.org/10.1371/journal.pone.0134826</w:t>
        </w:r>
      </w:hyperlink>
      <w:r>
        <w:t xml:space="preserve">.</w:t>
      </w:r>
    </w:p>
    <w:bookmarkEnd w:id="136"/>
    <w:bookmarkStart w:id="137" w:name="ref-2020200105714T"/>
    <w:p>
      <w:pPr>
        <w:pStyle w:val="Bibliography"/>
      </w:pPr>
      <w:r>
        <w:t xml:space="preserve">Trienes, Jan, Dolf Trieschnigg, Christin Seifert, and Djoerd Hiemstra. 2020. “Comparing Rule-based, Feature-based and Deep Neural Methods for De-identification of Dutch Medical Records.” In</w:t>
      </w:r>
      <w:r>
        <w:t xml:space="preserve"> </w:t>
      </w:r>
      <w:r>
        <w:rPr>
          <w:i/>
        </w:rPr>
        <w:t xml:space="preserve">Proceedings of the 1st Acm Wsdm Health Search and Data Mining Workshop (Hsdm2020)</w:t>
      </w:r>
      <w:r>
        <w:t xml:space="preserve">.</w:t>
      </w:r>
    </w:p>
    <w:bookmarkEnd w:id="137"/>
    <w:bookmarkStart w:id="139" w:name="ref-VANDEWIELE2021101987"/>
    <w:p>
      <w:pPr>
        <w:pStyle w:val="Bibliography"/>
      </w:pPr>
      <w:r>
        <w:t xml:space="preserve">Vandewiele, Gilles, Isabelle Dehaene, György Kovács, Lucas Sterckx, Olivier Janssens, Femke Ongenae, Femke De Backere, et al. 2021. “Overly Optimistic Prediction Results on Imbalanced Data: A Case Study of Flaws and Benefits When Applying over-Sampling.”</w:t>
      </w:r>
      <w:r>
        <w:t xml:space="preserve"> </w:t>
      </w:r>
      <w:r>
        <w:rPr>
          <w:i/>
        </w:rPr>
        <w:t xml:space="preserve">Artificial Intelligence in Medicine</w:t>
      </w:r>
      <w:r>
        <w:t xml:space="preserve"> </w:t>
      </w:r>
      <w:r>
        <w:t xml:space="preserve">111: 101987.</w:t>
      </w:r>
      <w:r>
        <w:t xml:space="preserve"> </w:t>
      </w:r>
      <w:hyperlink r:id="rId138">
        <w:r>
          <w:rPr>
            <w:rStyle w:val="Hyperlink"/>
          </w:rPr>
          <w:t xml:space="preserve">https://doi.org/https://doi.org/10.1016/j.artmed.2020.101987</w:t>
        </w:r>
      </w:hyperlink>
      <w:r>
        <w:t xml:space="preserve">.</w:t>
      </w:r>
    </w:p>
    <w:bookmarkEnd w:id="139"/>
    <w:bookmarkStart w:id="141" w:name="ref-Westergaard_2017"/>
    <w:p>
      <w:pPr>
        <w:pStyle w:val="Bibliography"/>
      </w:pPr>
      <w:r>
        <w:t xml:space="preserve">Westergaard, David, Hans-Henrik Stærfeldt, Christian Tønsberg, Lars Juhl Jensen, and Søren Brunak. 2017. “Text Mining of 15 Million Full-Text Scientific Articles,” July.</w:t>
      </w:r>
      <w:r>
        <w:t xml:space="preserve"> </w:t>
      </w:r>
      <w:hyperlink r:id="rId140">
        <w:r>
          <w:rPr>
            <w:rStyle w:val="Hyperlink"/>
          </w:rPr>
          <w:t xml:space="preserve">https://doi.org/10.1101/162099</w:t>
        </w:r>
      </w:hyperlink>
      <w:r>
        <w:t xml:space="preserve">.</w:t>
      </w:r>
    </w:p>
    <w:bookmarkEnd w:id="141"/>
    <w:bookmarkStart w:id="142" w:name="ref-yasunaga2022linkbert"/>
    <w:p>
      <w:pPr>
        <w:pStyle w:val="Bibliography"/>
      </w:pPr>
      <w:r>
        <w:t xml:space="preserve">Yasunaga, Michihiro, Jure Leskovec, and Percy Liang. 2022. “LinkBERT: Pretraining Language Models with Document Links.” In</w:t>
      </w:r>
      <w:r>
        <w:t xml:space="preserve"> </w:t>
      </w:r>
      <w:r>
        <w:rPr>
          <w:i/>
        </w:rPr>
        <w:t xml:space="preserve">Association for Computational Linguistics (Acl)</w:t>
      </w:r>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It means for example that one additional example of open code will increase or decrease the reported F1-score by around 10 points.</w:t>
      </w:r>
    </w:p>
  </w:footnote>
  <w:footnote w:id="31">
    <w:p>
      <w:pPr>
        <w:pStyle w:val="FootnoteText"/>
      </w:pPr>
      <w:r>
        <w:rPr>
          <w:rStyle w:val="FootnoteReference"/>
        </w:rPr>
        <w:footnoteRef/>
      </w:r>
      <w:r>
        <w:t xml:space="preserve"> </w:t>
      </w:r>
      <w:r>
        <w:t xml:space="preserve">From one of the author of</w:t>
      </w:r>
      <w:r>
        <w:t xml:space="preserve"> </w:t>
      </w:r>
      <w:r>
        <w:t xml:space="preserve">(Westergaard et al. 2017)</w:t>
      </w:r>
      <w:r>
        <w:t xml:space="preserve">, an effort to apply text mining to 15 million scientific articles,</w:t>
      </w:r>
      <w:r>
        <w:t xml:space="preserve"> </w:t>
      </w:r>
      <w:r>
        <w:t xml:space="preserve">“</w:t>
      </w:r>
      <w:r>
        <w:t xml:space="preserve">We probably spent more computational resources teasing the text out of PDFs and beating it into shape than we spent on the actual text mining.</w:t>
      </w:r>
      <w:r>
        <w:t xml:space="preserve">”</w:t>
      </w:r>
      <w:r>
        <w:t xml:space="preserve"> </w:t>
      </w:r>
      <w:r>
        <w:t xml:space="preserve">(McKenzie 2017)</w:t>
      </w:r>
    </w:p>
  </w:footnote>
  <w:footnote w:id="37">
    <w:p>
      <w:pPr>
        <w:pStyle w:val="FootnoteText"/>
      </w:pPr>
      <w:r>
        <w:rPr>
          <w:rStyle w:val="FootnoteReference"/>
        </w:rPr>
        <w:footnoteRef/>
      </w:r>
      <w:r>
        <w:t xml:space="preserve"> </w:t>
      </w:r>
      <w:r>
        <w:t xml:space="preserve">Fork for reproduced cross-evaluation and Softcite holdout evaluations available at https://github.com/kermitt2/software-mention-extraction-czi</w:t>
      </w:r>
    </w:p>
  </w:footnote>
  <w:footnote w:id="38">
    <w:p>
      <w:pPr>
        <w:pStyle w:val="FootnoteText"/>
      </w:pPr>
      <w:r>
        <w:rPr>
          <w:rStyle w:val="FootnoteReference"/>
        </w:rPr>
        <w:footnoteRef/>
      </w:r>
      <w:r>
        <w:t xml:space="preserve"> </w:t>
      </w:r>
      <w:r>
        <w:t xml:space="preserve">Fork for reproduced SoMeSci cross-evaluation and Softcite holdout evaluations available at https://github.com/kermitt2/SoMeNLP</w:t>
      </w:r>
    </w:p>
  </w:footnote>
  <w:footnote w:id="42">
    <w:p>
      <w:pPr>
        <w:pStyle w:val="FootnoteText"/>
      </w:pPr>
      <w:r>
        <w:rPr>
          <w:rStyle w:val="FootnoteReference"/>
        </w:rPr>
        <w:footnoteRef/>
      </w:r>
      <w:r>
        <w:t xml:space="preserve"> </w:t>
      </w:r>
      <w:r>
        <w:t xml:space="preserve">It should be noted that the Inter-Annotator Agreement associated to the annotations before reconciliation is not an evaluation of the quality of the final annotations, because the documents of the Softcite dataset have been annotated by at least 2 persons and all disagreements have been subject to a reconciliation. Inter-Annotator Agreement here gives an indication about the complexity of the annotation task and the requirement of multiple rounds of annotations and reconcialition to reach a</w:t>
      </w:r>
      <w:r>
        <w:t xml:space="preserve"> </w:t>
      </w:r>
      <w:r>
        <w:t xml:space="preserve">“</w:t>
      </w:r>
      <w:r>
        <w:t xml:space="preserve">gold</w:t>
      </w:r>
      <w:r>
        <w:t xml:space="preserve">”</w:t>
      </w:r>
      <w:r>
        <w:t xml:space="preserve"> </w:t>
      </w:r>
      <w:r>
        <w:t xml:space="preserve">standard.</w:t>
      </w:r>
    </w:p>
  </w:footnote>
  <w:footnote w:id="54">
    <w:p>
      <w:pPr>
        <w:pStyle w:val="FootnoteText"/>
      </w:pPr>
      <w:r>
        <w:rPr>
          <w:rStyle w:val="FootnoteReference"/>
        </w:rPr>
        <w:footnoteRef/>
      </w:r>
      <w:r>
        <w:t xml:space="preserve"> </w:t>
      </w:r>
      <w:r>
        <w:t xml:space="preserve">https://www.kaggle.com/competitions/coleridgeinitiative-show-us-the-data/data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3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57" Target="media/rId57.png" /><Relationship Type="http://schemas.openxmlformats.org/officeDocument/2006/relationships/image" Id="rId45" Target="media/rId45.png" /><Relationship Type="http://schemas.openxmlformats.org/officeDocument/2006/relationships/hyperlink" Id="rId92" Target="http://arxiv.org/abs/1810.04805" TargetMode="External" /><Relationship Type="http://schemas.openxmlformats.org/officeDocument/2006/relationships/hyperlink" Id="rId83" Target="http://arxiv.org/abs/1903.10676" TargetMode="External" /><Relationship Type="http://schemas.openxmlformats.org/officeDocument/2006/relationships/hyperlink" Id="rId102" Target="https://arxiv.org/abs/2209.00693" TargetMode="External" /><Relationship Type="http://schemas.openxmlformats.org/officeDocument/2006/relationships/hyperlink" Id="rId118" Target="https://cache.media.enseignementsup-recherche.gouv.fr/file/Recherche/50/1/SO_A4_2018_EN_01_leger_982501.pdf" TargetMode="External" /><Relationship Type="http://schemas.openxmlformats.org/officeDocument/2006/relationships/hyperlink" Id="rId120" Target="https://cache.media.enseignementsup-recherche.gouv.fr/file/science_ouverte/20/9/MEN_brochure_PNSO_web_1415209.pdf" TargetMode="External" /><Relationship Type="http://schemas.openxmlformats.org/officeDocument/2006/relationships/hyperlink" Id="rId100" Target="https://doi.org/10.1002/asi.23538" TargetMode="External" /><Relationship Type="http://schemas.openxmlformats.org/officeDocument/2006/relationships/hyperlink" Id="rId94" Target="https://doi.org/10.1002/asi.24454" TargetMode="External" /><Relationship Type="http://schemas.openxmlformats.org/officeDocument/2006/relationships/hyperlink" Id="rId140" Target="https://doi.org/10.1101/162099" TargetMode="External" /><Relationship Type="http://schemas.openxmlformats.org/officeDocument/2006/relationships/hyperlink" Id="rId98" Target="https://doi.org/10.1108/LHT-12-2016-0158" TargetMode="External" /><Relationship Type="http://schemas.openxmlformats.org/officeDocument/2006/relationships/hyperlink" Id="rId104" Target="https://doi.org/10.1109/MCSE.2019.2943847" TargetMode="External" /><Relationship Type="http://schemas.openxmlformats.org/officeDocument/2006/relationships/hyperlink" Id="rId131" Target="https://doi.org/10.1126/science.331.6018.692" TargetMode="External" /><Relationship Type="http://schemas.openxmlformats.org/officeDocument/2006/relationships/hyperlink" Id="rId116" Target="https://doi.org/10.1126/science.aan7139" TargetMode="External" /><Relationship Type="http://schemas.openxmlformats.org/officeDocument/2006/relationships/hyperlink" Id="rId113" Target="https://doi.org/10.1145/3459637.3481936" TargetMode="External" /><Relationship Type="http://schemas.openxmlformats.org/officeDocument/2006/relationships/hyperlink" Id="rId129" Target="https://doi.org/10.1145/3459637.3482017" TargetMode="External" /><Relationship Type="http://schemas.openxmlformats.org/officeDocument/2006/relationships/hyperlink" Id="rId135" Target="https://doi.org/10.1371/journal.pone.0134826" TargetMode="External" /><Relationship Type="http://schemas.openxmlformats.org/officeDocument/2006/relationships/hyperlink" Id="rId108" Target="https://doi.org/10.5281/zenodo.2585783" TargetMode="External" /><Relationship Type="http://schemas.openxmlformats.org/officeDocument/2006/relationships/hyperlink" Id="rId96" Target="https://doi.org/10.7717/peerj-cs.1022" TargetMode="External" /><Relationship Type="http://schemas.openxmlformats.org/officeDocument/2006/relationships/hyperlink" Id="rId90" Target="https://doi.org/10.7717/peerj-cs.835" TargetMode="External" /><Relationship Type="http://schemas.openxmlformats.org/officeDocument/2006/relationships/hyperlink" Id="rId88" Target="https://doi.org/http://doi.org/10.5334/dsj-2019-009" TargetMode="External" /><Relationship Type="http://schemas.openxmlformats.org/officeDocument/2006/relationships/hyperlink" Id="rId127" Target="https://doi.org/http://doi.org/10.5334/dsj-2020-042" TargetMode="External" /><Relationship Type="http://schemas.openxmlformats.org/officeDocument/2006/relationships/hyperlink" Id="rId124" Target="https://doi.org/https://doi.org/10.1002/asi.24049" TargetMode="External" /><Relationship Type="http://schemas.openxmlformats.org/officeDocument/2006/relationships/hyperlink" Id="rId106" Target="https://doi.org/https://doi.org/10.1002/pra2.614" TargetMode="External" /><Relationship Type="http://schemas.openxmlformats.org/officeDocument/2006/relationships/hyperlink" Id="rId138" Target="https://doi.org/https://doi.org/10.1016/j.artmed.2020.101987" TargetMode="External" /><Relationship Type="http://schemas.openxmlformats.org/officeDocument/2006/relationships/hyperlink" Id="rId110" Target="https://doi.org/https://doi.org/10.1016/j.jml.2022.104332" TargetMode="External" /><Relationship Type="http://schemas.openxmlformats.org/officeDocument/2006/relationships/hyperlink" Id="rId122" Target="https://doi.org/https://doi.org/10.1087/20110204" TargetMode="External" /><Relationship Type="http://schemas.openxmlformats.org/officeDocument/2006/relationships/hyperlink" Id="rId133" Target="https://doi.org/https://doi.org/10.1371/journal.pbio.3001107" TargetMode="External" /><Relationship Type="http://schemas.openxmlformats.org/officeDocument/2006/relationships/hyperlink" Id="rId20" Target="https://frenchopensciencemonitor.esr.gouv.fr" TargetMode="External" /><Relationship Type="http://schemas.openxmlformats.org/officeDocument/2006/relationships/hyperlink" Id="rId85" Target="https://hal.archives-ouvertes.fr/hal-03651518" TargetMode="External" /></Relationships>
</file>

<file path=word/_rels/footnotes.xml.rels><?xml version="1.0" encoding="UTF-8"?>
<Relationships xmlns="http://schemas.openxmlformats.org/package/2006/relationships"><Relationship Type="http://schemas.openxmlformats.org/officeDocument/2006/relationships/hyperlink" Id="rId92" Target="http://arxiv.org/abs/1810.04805" TargetMode="External" /><Relationship Type="http://schemas.openxmlformats.org/officeDocument/2006/relationships/hyperlink" Id="rId83" Target="http://arxiv.org/abs/1903.10676" TargetMode="External" /><Relationship Type="http://schemas.openxmlformats.org/officeDocument/2006/relationships/hyperlink" Id="rId102" Target="https://arxiv.org/abs/2209.00693" TargetMode="External" /><Relationship Type="http://schemas.openxmlformats.org/officeDocument/2006/relationships/hyperlink" Id="rId118" Target="https://cache.media.enseignementsup-recherche.gouv.fr/file/Recherche/50/1/SO_A4_2018_EN_01_leger_982501.pdf" TargetMode="External" /><Relationship Type="http://schemas.openxmlformats.org/officeDocument/2006/relationships/hyperlink" Id="rId120" Target="https://cache.media.enseignementsup-recherche.gouv.fr/file/science_ouverte/20/9/MEN_brochure_PNSO_web_1415209.pdf" TargetMode="External" /><Relationship Type="http://schemas.openxmlformats.org/officeDocument/2006/relationships/hyperlink" Id="rId100" Target="https://doi.org/10.1002/asi.23538" TargetMode="External" /><Relationship Type="http://schemas.openxmlformats.org/officeDocument/2006/relationships/hyperlink" Id="rId94" Target="https://doi.org/10.1002/asi.24454" TargetMode="External" /><Relationship Type="http://schemas.openxmlformats.org/officeDocument/2006/relationships/hyperlink" Id="rId140" Target="https://doi.org/10.1101/162099" TargetMode="External" /><Relationship Type="http://schemas.openxmlformats.org/officeDocument/2006/relationships/hyperlink" Id="rId98" Target="https://doi.org/10.1108/LHT-12-2016-0158" TargetMode="External" /><Relationship Type="http://schemas.openxmlformats.org/officeDocument/2006/relationships/hyperlink" Id="rId104" Target="https://doi.org/10.1109/MCSE.2019.2943847" TargetMode="External" /><Relationship Type="http://schemas.openxmlformats.org/officeDocument/2006/relationships/hyperlink" Id="rId131" Target="https://doi.org/10.1126/science.331.6018.692" TargetMode="External" /><Relationship Type="http://schemas.openxmlformats.org/officeDocument/2006/relationships/hyperlink" Id="rId116" Target="https://doi.org/10.1126/science.aan7139" TargetMode="External" /><Relationship Type="http://schemas.openxmlformats.org/officeDocument/2006/relationships/hyperlink" Id="rId113" Target="https://doi.org/10.1145/3459637.3481936" TargetMode="External" /><Relationship Type="http://schemas.openxmlformats.org/officeDocument/2006/relationships/hyperlink" Id="rId129" Target="https://doi.org/10.1145/3459637.3482017" TargetMode="External" /><Relationship Type="http://schemas.openxmlformats.org/officeDocument/2006/relationships/hyperlink" Id="rId135" Target="https://doi.org/10.1371/journal.pone.0134826" TargetMode="External" /><Relationship Type="http://schemas.openxmlformats.org/officeDocument/2006/relationships/hyperlink" Id="rId108" Target="https://doi.org/10.5281/zenodo.2585783" TargetMode="External" /><Relationship Type="http://schemas.openxmlformats.org/officeDocument/2006/relationships/hyperlink" Id="rId96" Target="https://doi.org/10.7717/peerj-cs.1022" TargetMode="External" /><Relationship Type="http://schemas.openxmlformats.org/officeDocument/2006/relationships/hyperlink" Id="rId90" Target="https://doi.org/10.7717/peerj-cs.835" TargetMode="External" /><Relationship Type="http://schemas.openxmlformats.org/officeDocument/2006/relationships/hyperlink" Id="rId88" Target="https://doi.org/http://doi.org/10.5334/dsj-2019-009" TargetMode="External" /><Relationship Type="http://schemas.openxmlformats.org/officeDocument/2006/relationships/hyperlink" Id="rId127" Target="https://doi.org/http://doi.org/10.5334/dsj-2020-042" TargetMode="External" /><Relationship Type="http://schemas.openxmlformats.org/officeDocument/2006/relationships/hyperlink" Id="rId124" Target="https://doi.org/https://doi.org/10.1002/asi.24049" TargetMode="External" /><Relationship Type="http://schemas.openxmlformats.org/officeDocument/2006/relationships/hyperlink" Id="rId106" Target="https://doi.org/https://doi.org/10.1002/pra2.614" TargetMode="External" /><Relationship Type="http://schemas.openxmlformats.org/officeDocument/2006/relationships/hyperlink" Id="rId138" Target="https://doi.org/https://doi.org/10.1016/j.artmed.2020.101987" TargetMode="External" /><Relationship Type="http://schemas.openxmlformats.org/officeDocument/2006/relationships/hyperlink" Id="rId110" Target="https://doi.org/https://doi.org/10.1016/j.jml.2022.104332" TargetMode="External" /><Relationship Type="http://schemas.openxmlformats.org/officeDocument/2006/relationships/hyperlink" Id="rId122" Target="https://doi.org/https://doi.org/10.1087/20110204" TargetMode="External" /><Relationship Type="http://schemas.openxmlformats.org/officeDocument/2006/relationships/hyperlink" Id="rId133" Target="https://doi.org/https://doi.org/10.1371/journal.pbio.3001107" TargetMode="External" /><Relationship Type="http://schemas.openxmlformats.org/officeDocument/2006/relationships/hyperlink" Id="rId20" Target="https://frenchopensciencemonitor.esr.gouv.fr" TargetMode="External" /><Relationship Type="http://schemas.openxmlformats.org/officeDocument/2006/relationships/hyperlink" Id="rId85" Target="https://hal.archives-ouvertes.fr/hal-036515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production and the openness ofresearch data and software in France:Large-scale Machine-Learning analysis of scientific PDF</dc:title>
  <dc:creator>Aricia Bassinet2, Laetitia Bracco2, Anne L'Hôte1, Eric Jeangirard1, Patrice Lopez3, and Laurent Romary4</dc:creator>
  <cp:keywords>research software, research data, open access, open science, scientometrics</cp:keywords>
  <dcterms:created xsi:type="dcterms:W3CDTF">2023-02-14T18:40:30Z</dcterms:created>
  <dcterms:modified xsi:type="dcterms:W3CDTF">2023-02-14T18:40:30Z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today no standard way for referencing research datasets and research software in scientific communication. Emerging editorial workflows and supporting infrastructures dedicated to dataset and software are still poorly adopted by current publishing practices and are highly fragmented.To better follow the production of research datasets and software, we present a text mining method applied to scientific publications at scale and implemented at the French national level. Our approach relies on state-of-the-art Machine Learning and document engineering techniques to ensure satisfactory accuracy across multiple research areas and document types, combining full-text harvesting, mention extraction, context characterization and corpus-level analysis.The annotations produced by our system are used by the French Open Science Monitor (BSO) platform to follow the production and the openness of research data and software, in the context of the second National Plan for Open Science.The source code and the data of the French Open Science Monitor, as well as all the associated tools and training datasets, are available under open licences.</vt:lpwstr>
  </property>
  <property fmtid="{D5CDD505-2E9C-101B-9397-08002B2CF9AE}" pid="3" name="bibliography">
    <vt:lpwstr>bso3.bib</vt:lpwstr>
  </property>
  <property fmtid="{D5CDD505-2E9C-101B-9397-08002B2CF9AE}" pid="4" name="cito_cites">
    <vt:lpwstr/>
  </property>
  <property fmtid="{D5CDD505-2E9C-101B-9397-08002B2CF9AE}" pid="5" name="date">
    <vt:lpwstr>January 2023</vt:lpwstr>
  </property>
  <property fmtid="{D5CDD505-2E9C-101B-9397-08002B2CF9AE}" pid="6" name="geometry">
    <vt:lpwstr>left=3cm, right=3cm, top=3cm, bottom=3cm</vt:lpwstr>
  </property>
</Properties>
</file>