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for</w:t>
      </w:r>
      <w:r>
        <w:t xml:space="preserve"> </w:t>
      </w:r>
      <w:r>
        <w:t xml:space="preserve">following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December</w:t>
      </w:r>
      <w:r>
        <w:t xml:space="preserve"> </w:t>
      </w:r>
      <w:r>
        <w:t xml:space="preserve">2022</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core elements of the research activities. 90-95% of researchers in the US and the UK rely upon software, and more than 60% would be unable to continue working if such software stopped functioning</w:t>
      </w:r>
      <w:r>
        <w:t xml:space="preserve"> </w:t>
      </w:r>
      <w:r>
        <w:t xml:space="preserve">(Philippe et al. 2019)</w:t>
      </w:r>
      <w:r>
        <w:t xml:space="preserve">. Nearly half of the researchers commonly use data generated by other scientists</w:t>
      </w:r>
      <w:r>
        <w:t xml:space="preserve"> </w:t>
      </w:r>
      <w:r>
        <w:t xml:space="preserve">(staff 2011)</w:t>
      </w:r>
      <w:r>
        <w:t xml:space="preserve"> </w:t>
      </w:r>
      <w:r>
        <w:t xml:space="preserve">and the vast majority of researchers support data sharing</w:t>
      </w:r>
      <w:r>
        <w:t xml:space="preserve"> </w:t>
      </w:r>
      <w:r>
        <w:t xml:space="preserve">(Tenopir 2015)</w:t>
      </w:r>
      <w:r>
        <w:t xml:space="preserve">. The critical role of research data and software is today broadly acknowledged, in particular for better supporting the reuse and the reproducibility of research results</w:t>
      </w:r>
      <w:r>
        <w:t xml:space="preserve"> </w:t>
      </w:r>
      <w:r>
        <w:t xml:space="preserve">(, Laurinavichyute, Yadav, and Vasishth 2022)</w:t>
      </w:r>
      <w:r>
        <w:t xml:space="preserve">.</w:t>
      </w:r>
    </w:p>
    <w:p>
      <w:pPr>
        <w:pStyle w:val="BodyText"/>
      </w:pPr>
      <w:r>
        <w:t xml:space="preserve">However, in contrast with the well established practice of citing publication, the visibility of research datasets and software is considered largely insufficient. Software is not cited in scholarly publications in a consistent and easily readable manner (Howison &amp; Bullard, 2016). When they exist, the PID associated to software are not used (Du et al. 2022).</w:t>
      </w:r>
      <w:r>
        <w:t xml:space="preserve"> </w:t>
      </w:r>
      <w:r>
        <w:t xml:space="preserve">Much of the published data is still essentially unavailable for integration into secondary data analysis and evaluation of reproducibility.</w:t>
      </w:r>
      <w:r>
        <w:t xml:space="preserve"> </w:t>
      </w:r>
      <w:r>
        <w:t xml:space="preserve">The deposited data is also be incomplete, sometimes intentionally and fragmented in .</w:t>
      </w:r>
      <w:r>
        <w:t xml:space="preserve"> </w:t>
      </w:r>
      <w:r>
        <w:t xml:space="preserve">Similarly as for software, PID associated to data are almost not used to reference datasets in publications.</w:t>
      </w:r>
    </w:p>
    <w:p>
      <w:pPr>
        <w:pStyle w:val="BodyText"/>
      </w:pPr>
      <w:r>
        <w:t xml:space="preserve">Multiple initiatives took place in last decade to address this issue, in particular focusing on improving dataset and software cataloging [], advocacy efforts and standards for data and software citation [], with limited impact until now (Du et al. 2022).</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it is considered that more pro-active and voluntarist policies are necessary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0"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(“GROBID,” n.d.)</w:t>
      </w:r>
      <w:r>
        <w:t xml:space="preserve"> </w:t>
      </w: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End w:id="30"/>
    <w:bookmarkStart w:id="31"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1"/>
    <w:bookmarkStart w:id="42" w:name="results"/>
    <w:p>
      <w:pPr>
        <w:pStyle w:val="Heading1"/>
      </w:pPr>
      <w:r>
        <w:t xml:space="preserve">4. Results</w:t>
      </w:r>
    </w:p>
    <w:bookmarkStart w:id="32" w:name="X33b2c3d4a08cbd8cb03d860cdbf1074f33e64b6"/>
    <w:p>
      <w:pPr>
        <w:pStyle w:val="Heading2"/>
      </w:pPr>
      <w:r>
        <w:t xml:space="preserve">4.1 Full text harvesting and affiliation extraction</w:t>
      </w:r>
    </w:p>
    <w:bookmarkEnd w:id="32"/>
    <w:bookmarkStart w:id="33" w:name="dataset-and-software-mention-extraction"/>
    <w:p>
      <w:pPr>
        <w:pStyle w:val="Heading2"/>
      </w:pPr>
      <w:r>
        <w:t xml:space="preserve">4.2 Dataset and software mention extraction</w:t>
      </w:r>
    </w:p>
    <w:bookmarkEnd w:id="33"/>
    <w:bookmarkStart w:id="34" w:name="research-product-deduplication"/>
    <w:p>
      <w:pPr>
        <w:pStyle w:val="Heading2"/>
      </w:pPr>
      <w:r>
        <w:t xml:space="preserve">4.3 Research product deduplication</w:t>
      </w:r>
    </w:p>
    <w:bookmarkEnd w:id="34"/>
    <w:bookmarkStart w:id="35"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5"/>
    <w:bookmarkStart w:id="41" w:name="limitations-and-future-work"/>
    <w:p>
      <w:pPr>
        <w:pStyle w:val="Heading2"/>
      </w:pPr>
      <w:r>
        <w:t xml:space="preserve">5 Limitations and future work</w:t>
      </w:r>
    </w:p>
    <w:bookmarkStart w:id="36" w:name="limitations"/>
    <w:p>
      <w:pPr>
        <w:pStyle w:val="Heading3"/>
      </w:pPr>
      <w:r>
        <w:t xml:space="preserve">5.1 Limitations</w:t>
      </w:r>
    </w:p>
    <w:bookmarkEnd w:id="36"/>
    <w:bookmarkStart w:id="40" w:name="future-work"/>
    <w:p>
      <w:pPr>
        <w:pStyle w:val="Heading3"/>
      </w:pPr>
      <w:r>
        <w:t xml:space="preserve">5.2 Future work</w:t>
      </w:r>
    </w:p>
    <w:bookmarkStart w:id="37" w:name="domain-coverage"/>
    <w:p>
      <w:pPr>
        <w:pStyle w:val="Heading4"/>
      </w:pPr>
      <w:r>
        <w:t xml:space="preserve">5.2.1 Domain coverage</w:t>
      </w:r>
    </w:p>
    <w:bookmarkEnd w:id="37"/>
    <w:bookmarkStart w:id="38" w:name="Xa18e8592c1f07fbddbef940a4e2a4d52031ce85"/>
    <w:p>
      <w:pPr>
        <w:pStyle w:val="Heading4"/>
      </w:pPr>
      <w:r>
        <w:t xml:space="preserve">5.2.2 Large-scale research entity disambiguation</w:t>
      </w:r>
    </w:p>
    <w:bookmarkEnd w:id="38"/>
    <w:bookmarkStart w:id="39" w:name="local-open-science-monitor"/>
    <w:p>
      <w:pPr>
        <w:pStyle w:val="Heading4"/>
      </w:pPr>
      <w:r>
        <w:t xml:space="preserve">5.2.3 Local Open Science Monitor</w:t>
      </w:r>
    </w:p>
    <w:bookmarkEnd w:id="39"/>
    <w:bookmarkEnd w:id="40"/>
    <w:bookmarkEnd w:id="41"/>
    <w:bookmarkEnd w:id="42"/>
    <w:bookmarkStart w:id="43"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3"/>
    <w:bookmarkStart w:id="44" w:name="acknowledgements"/>
    <w:p>
      <w:pPr>
        <w:pStyle w:val="Heading1"/>
      </w:pPr>
      <w:r>
        <w:t xml:space="preserve">Acknowledgements</w:t>
      </w:r>
    </w:p>
    <w:p>
      <w:pPr>
        <w:pStyle w:val="FirstParagraph"/>
      </w:pPr>
      <w:r>
        <w:t xml:space="preserve">Thank you to the readers.</w:t>
      </w:r>
    </w:p>
    <w:bookmarkEnd w:id="44"/>
    <w:bookmarkStart w:id="64" w:name="references"/>
    <w:p>
      <w:pPr>
        <w:pStyle w:val="Heading1"/>
      </w:pPr>
      <w:r>
        <w:t xml:space="preserve">References</w:t>
      </w:r>
    </w:p>
    <w:bookmarkStart w:id="63" w:name="refs"/>
    <w:bookmarkStart w:id="46"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5">
        <w:r>
          <w:rPr>
            <w:rStyle w:val="Hyperlink"/>
          </w:rPr>
          <w:t xml:space="preserve">https://hal.archives-ouvertes.fr/hal-03651518</w:t>
        </w:r>
      </w:hyperlink>
      <w:r>
        <w:t xml:space="preserve">.</w:t>
      </w:r>
    </w:p>
    <w:bookmarkEnd w:id="46"/>
    <w:bookmarkStart w:id="48"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7">
        <w:r>
          <w:rPr>
            <w:rStyle w:val="Hyperlink"/>
          </w:rPr>
          <w:t xml:space="preserve">https://doi.org/10.1002/asi.24454</w:t>
        </w:r>
      </w:hyperlink>
      <w:r>
        <w:t xml:space="preserve">.</w:t>
      </w:r>
    </w:p>
    <w:bookmarkEnd w:id="48"/>
    <w:bookmarkStart w:id="50" w:name="ref-GROBID"/>
    <w:p>
      <w:pPr>
        <w:pStyle w:val="Bibliography"/>
      </w:pPr>
      <w:r>
        <w:t xml:space="preserve">“GROBID.” n.d.</w:t>
      </w:r>
      <w:r>
        <w:t xml:space="preserve"> </w:t>
      </w:r>
      <w:hyperlink r:id="rId49">
        <w:r>
          <w:rPr>
            <w:rStyle w:val="Hyperlink"/>
          </w:rPr>
          <w:t xml:space="preserve">https://github.com/kermitt2/grobid</w:t>
        </w:r>
      </w:hyperlink>
      <w:r>
        <w:t xml:space="preserve">; GitHub.</w:t>
      </w:r>
    </w:p>
    <w:bookmarkEnd w:id="50"/>
    <w:bookmarkStart w:id="52" w:name="ref-LAURINAVICHYUTE2022104332"/>
    <w:p>
      <w:pPr>
        <w:pStyle w:val="Bibliography"/>
      </w:pPr>
      <w:r>
        <w:t xml:space="preserve">Laurinavichyute, Anna, Himanshu Yadav, and Shravan Vasishth. 2022. “Share the Code, Not Just the Data: A Case Study of the Reproducibility of Articles Published in the Journal of Memory and Language Under the Open Data Policy.”</w:t>
      </w:r>
      <w:r>
        <w:t xml:space="preserve"> </w:t>
      </w:r>
      <w:r>
        <w:rPr>
          <w:i/>
        </w:rPr>
        <w:t xml:space="preserve">Journal of Memory and Language</w:t>
      </w:r>
      <w:r>
        <w:t xml:space="preserve"> </w:t>
      </w:r>
      <w:r>
        <w:t xml:space="preserve">125: 104332.</w:t>
      </w:r>
      <w:r>
        <w:t xml:space="preserve"> </w:t>
      </w:r>
      <w:hyperlink r:id="rId51">
        <w:r>
          <w:rPr>
            <w:rStyle w:val="Hyperlink"/>
          </w:rPr>
          <w:t xml:space="preserve">https://doi.org/https://doi.org/10.1016/j.jml.2022.104332</w:t>
        </w:r>
      </w:hyperlink>
      <w:r>
        <w:t xml:space="preserve">.</w:t>
      </w:r>
    </w:p>
    <w:bookmarkEnd w:id="52"/>
    <w:bookmarkStart w:id="54" w:name="ref-mesri_national_2018"/>
    <w:p>
      <w:pPr>
        <w:pStyle w:val="Bibliography"/>
      </w:pPr>
      <w:r>
        <w:t xml:space="preserve">MESRI. 2018. “National Plan for Open Science.”</w:t>
      </w:r>
      <w:r>
        <w:t xml:space="preserve"> </w:t>
      </w:r>
      <w:hyperlink r:id="rId53">
        <w:r>
          <w:rPr>
            <w:rStyle w:val="Hyperlink"/>
          </w:rPr>
          <w:t xml:space="preserve">https://cache.media.enseignementsup-recherche.gouv.fr/file/Recherche/50/1/SO_A4_2018_EN_01_leger_982501.pdf</w:t>
        </w:r>
      </w:hyperlink>
      <w:r>
        <w:t xml:space="preserve">.</w:t>
      </w:r>
    </w:p>
    <w:bookmarkEnd w:id="54"/>
    <w:bookmarkStart w:id="56" w:name="ref-mesri_2nd_2021"/>
    <w:p>
      <w:pPr>
        <w:pStyle w:val="Bibliography"/>
      </w:pPr>
      <w:r>
        <w:t xml:space="preserve">———. 2021. “2nd National Plan for Open Science.”</w:t>
      </w:r>
      <w:r>
        <w:t xml:space="preserve"> </w:t>
      </w:r>
      <w:hyperlink r:id="rId55">
        <w:r>
          <w:rPr>
            <w:rStyle w:val="Hyperlink"/>
          </w:rPr>
          <w:t xml:space="preserve">https://cache.media.enseignementsup-recherche.gouv.fr/file/science_ouverte/20/9/MEN_brochure_PNSO_web_1415209.pdf</w:t>
        </w:r>
      </w:hyperlink>
      <w:r>
        <w:t xml:space="preserve">.</w:t>
      </w:r>
    </w:p>
    <w:bookmarkEnd w:id="56"/>
    <w:bookmarkStart w:id="58" w:name="ref-olivier_philippe_2019_2585783"/>
    <w:p>
      <w:pPr>
        <w:pStyle w:val="Bibliography"/>
      </w:pPr>
      <w:r>
        <w:t xml:space="preserve">Philippe, Olivier, Martin Hammitzsch, Stephan Janosch, Anelda van der Walt, Ben van Werkhoven, Simon Hettrick, Daniel S. Katz, et al. 2019. “softwaresaved/international-survey: Public release for 2018 results.” Zenodo.</w:t>
      </w:r>
      <w:r>
        <w:t xml:space="preserve"> </w:t>
      </w:r>
      <w:hyperlink r:id="rId57">
        <w:r>
          <w:rPr>
            <w:rStyle w:val="Hyperlink"/>
          </w:rPr>
          <w:t xml:space="preserve">https://doi.org/10.5281/zenodo.2585783</w:t>
        </w:r>
      </w:hyperlink>
      <w:r>
        <w:t xml:space="preserve">.</w:t>
      </w:r>
    </w:p>
    <w:bookmarkEnd w:id="58"/>
    <w:bookmarkStart w:id="60" w:name="ref-science_2011"/>
    <w:p>
      <w:pPr>
        <w:pStyle w:val="Bibliography"/>
      </w:pPr>
      <w:r>
        <w:t xml:space="preserve">staff, Science. 2011. “Challenges and Opportunities.”</w:t>
      </w:r>
      <w:r>
        <w:t xml:space="preserve"> </w:t>
      </w:r>
      <w:r>
        <w:rPr>
          <w:i/>
        </w:rPr>
        <w:t xml:space="preserve">Science</w:t>
      </w:r>
      <w:r>
        <w:t xml:space="preserve"> </w:t>
      </w:r>
      <w:r>
        <w:t xml:space="preserve">331 (6018): 692–93.</w:t>
      </w:r>
      <w:r>
        <w:t xml:space="preserve"> </w:t>
      </w:r>
      <w:hyperlink r:id="rId59">
        <w:r>
          <w:rPr>
            <w:rStyle w:val="Hyperlink"/>
          </w:rPr>
          <w:t xml:space="preserve">https://doi.org/10.1126/science.331.6018.692</w:t>
        </w:r>
      </w:hyperlink>
      <w:r>
        <w:t xml:space="preserve">.</w:t>
      </w:r>
    </w:p>
    <w:bookmarkEnd w:id="60"/>
    <w:bookmarkStart w:id="62" w:name="ref-10.1371/journal.pone.0134826"/>
    <w:p>
      <w:pPr>
        <w:pStyle w:val="Bibliography"/>
      </w:pPr>
      <w:r>
        <w:t xml:space="preserve">Tenopir, Elizabeth D. AND Allard, Carol AND Dalton. 2015. “Changes in Data Sharing and Data Reuse Practices and Perceptions Among Scientists Worldwide.”</w:t>
      </w:r>
      <w:r>
        <w:t xml:space="preserve"> </w:t>
      </w:r>
      <w:r>
        <w:rPr>
          <w:i/>
        </w:rPr>
        <w:t xml:space="preserve">PLOS ONE</w:t>
      </w:r>
      <w:r>
        <w:t xml:space="preserve"> </w:t>
      </w:r>
      <w:r>
        <w:t xml:space="preserve">10 (8): 1–24.</w:t>
      </w:r>
      <w:r>
        <w:t xml:space="preserve"> </w:t>
      </w:r>
      <w:hyperlink r:id="rId61">
        <w:r>
          <w:rPr>
            <w:rStyle w:val="Hyperlink"/>
          </w:rPr>
          <w:t xml:space="preserve">https://doi.org/10.1371/journal.pone.0134826</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ache.media.enseignementsup-recherche.gouv.fr/file/Recherche/50/1/SO_A4_2018_EN_01_leger_982501.pdf" TargetMode="External" /><Relationship Type="http://schemas.openxmlformats.org/officeDocument/2006/relationships/hyperlink" Id="rId55"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59" Target="https://doi.org/10.1126/science.331.6018.692" TargetMode="External" /><Relationship Type="http://schemas.openxmlformats.org/officeDocument/2006/relationships/hyperlink" Id="rId61" Target="https://doi.org/10.1371/journal.pone.0134826" TargetMode="External" /><Relationship Type="http://schemas.openxmlformats.org/officeDocument/2006/relationships/hyperlink" Id="rId57" Target="https://doi.org/10.5281/zenodo.2585783" TargetMode="External" /><Relationship Type="http://schemas.openxmlformats.org/officeDocument/2006/relationships/hyperlink" Id="rId51" Target="https://doi.org/https://doi.org/10.1016/j.jml.2022.104332" TargetMode="External" /><Relationship Type="http://schemas.openxmlformats.org/officeDocument/2006/relationships/hyperlink" Id="rId20" Target="https://frenchopensciencemonitor.esr.gouv.fr" TargetMode="External" /><Relationship Type="http://schemas.openxmlformats.org/officeDocument/2006/relationships/hyperlink" Id="rId49" Target="https://github.com/kermitt2/grobid" TargetMode="External" /><Relationship Type="http://schemas.openxmlformats.org/officeDocument/2006/relationships/hyperlink" Id="rId45"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3" Target="https://cache.media.enseignementsup-recherche.gouv.fr/file/Recherche/50/1/SO_A4_2018_EN_01_leger_982501.pdf" TargetMode="External" /><Relationship Type="http://schemas.openxmlformats.org/officeDocument/2006/relationships/hyperlink" Id="rId55"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59" Target="https://doi.org/10.1126/science.331.6018.692" TargetMode="External" /><Relationship Type="http://schemas.openxmlformats.org/officeDocument/2006/relationships/hyperlink" Id="rId61" Target="https://doi.org/10.1371/journal.pone.0134826" TargetMode="External" /><Relationship Type="http://schemas.openxmlformats.org/officeDocument/2006/relationships/hyperlink" Id="rId57" Target="https://doi.org/10.5281/zenodo.2585783" TargetMode="External" /><Relationship Type="http://schemas.openxmlformats.org/officeDocument/2006/relationships/hyperlink" Id="rId51" Target="https://doi.org/https://doi.org/10.1016/j.jml.2022.104332" TargetMode="External" /><Relationship Type="http://schemas.openxmlformats.org/officeDocument/2006/relationships/hyperlink" Id="rId20" Target="https://frenchopensciencemonitor.esr.gouv.fr" TargetMode="External" /><Relationship Type="http://schemas.openxmlformats.org/officeDocument/2006/relationships/hyperlink" Id="rId49" Target="https://github.com/kermitt2/grobid" TargetMode="External" /><Relationship Type="http://schemas.openxmlformats.org/officeDocument/2006/relationships/hyperlink" Id="rId45"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for following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2022-12-15T11:58:01Z</dcterms:created>
  <dcterms:modified xsi:type="dcterms:W3CDTF">2022-12-15T11:58:01Z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December 2022</vt:lpwstr>
  </property>
  <property fmtid="{D5CDD505-2E9C-101B-9397-08002B2CF9AE}" pid="6" name="geometry">
    <vt:lpwstr>left=3cm, right=3cm, top=3cm, bottom=3cm</vt:lpwstr>
  </property>
  <property fmtid="{D5CDD505-2E9C-101B-9397-08002B2CF9AE}" pid="7" name="subtitle">
    <vt:lpwstr>…</vt:lpwstr>
  </property>
</Properties>
</file>